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4C7EA" w14:textId="77777777" w:rsidR="00727737" w:rsidRDefault="00727737"/>
    <w:p w14:paraId="3D763A91" w14:textId="77777777" w:rsidR="00727737" w:rsidRDefault="00727737"/>
    <w:p w14:paraId="7BB1AF5A" w14:textId="77777777" w:rsidR="00727737" w:rsidRDefault="00727737"/>
    <w:p w14:paraId="6AA1185D" w14:textId="77777777" w:rsidR="00727737" w:rsidRDefault="00000000">
      <w:pPr>
        <w:pBdr>
          <w:top w:val="nil"/>
          <w:left w:val="nil"/>
          <w:bottom w:val="nil"/>
          <w:right w:val="nil"/>
          <w:between w:val="nil"/>
        </w:pBdr>
        <w:jc w:val="center"/>
        <w:rPr>
          <w:rFonts w:cs="Open Sans"/>
          <w:b/>
          <w:smallCaps/>
          <w:color w:val="0489CE"/>
          <w:sz w:val="48"/>
          <w:szCs w:val="48"/>
        </w:rPr>
      </w:pPr>
      <w:bookmarkStart w:id="0" w:name="_heading=h.gjdgxs" w:colFirst="0" w:colLast="0"/>
      <w:bookmarkEnd w:id="0"/>
      <w:r>
        <w:rPr>
          <w:b/>
          <w:smallCaps/>
          <w:color w:val="0489CE"/>
          <w:sz w:val="48"/>
          <w:szCs w:val="48"/>
        </w:rPr>
        <w:t>Legal Requirements and Regulatory Analysis Report</w:t>
      </w:r>
    </w:p>
    <w:p w14:paraId="41308D9D" w14:textId="77777777" w:rsidR="00727737" w:rsidRDefault="00000000">
      <w:pPr>
        <w:pBdr>
          <w:top w:val="nil"/>
          <w:left w:val="nil"/>
          <w:bottom w:val="nil"/>
          <w:right w:val="nil"/>
          <w:between w:val="nil"/>
        </w:pBdr>
        <w:jc w:val="center"/>
        <w:rPr>
          <w:rFonts w:cs="Open Sans"/>
          <w:smallCaps/>
          <w:color w:val="0489CE"/>
          <w:sz w:val="36"/>
          <w:szCs w:val="36"/>
        </w:rPr>
      </w:pPr>
      <w:r>
        <w:rPr>
          <w:rFonts w:cs="Open Sans"/>
          <w:smallCaps/>
          <w:color w:val="0489CE"/>
          <w:sz w:val="36"/>
          <w:szCs w:val="36"/>
        </w:rPr>
        <w:t xml:space="preserve">Version </w:t>
      </w:r>
      <w:r>
        <w:rPr>
          <w:smallCaps/>
          <w:color w:val="0489CE"/>
          <w:sz w:val="36"/>
          <w:szCs w:val="36"/>
        </w:rPr>
        <w:t>1.0</w:t>
      </w:r>
    </w:p>
    <w:p w14:paraId="7EB5941A" w14:textId="77777777" w:rsidR="00727737" w:rsidRDefault="00727737"/>
    <w:p w14:paraId="16FFA202" w14:textId="77777777" w:rsidR="00727737" w:rsidRDefault="00727737"/>
    <w:p w14:paraId="67F6E43E" w14:textId="77777777" w:rsidR="00727737" w:rsidRDefault="00000000">
      <w:pPr>
        <w:pBdr>
          <w:top w:val="nil"/>
          <w:left w:val="nil"/>
          <w:bottom w:val="nil"/>
          <w:right w:val="nil"/>
          <w:between w:val="nil"/>
        </w:pBdr>
        <w:spacing w:before="120" w:after="120"/>
        <w:ind w:right="0"/>
        <w:jc w:val="center"/>
        <w:rPr>
          <w:rFonts w:cs="Open Sans"/>
          <w:color w:val="575756"/>
          <w:sz w:val="24"/>
          <w:szCs w:val="24"/>
        </w:rPr>
      </w:pPr>
      <w:r>
        <w:rPr>
          <w:rFonts w:cs="Open Sans"/>
          <w:color w:val="575756"/>
          <w:sz w:val="24"/>
          <w:szCs w:val="24"/>
        </w:rPr>
        <w:t>&lt;</w:t>
      </w:r>
      <w:r>
        <w:rPr>
          <w:sz w:val="24"/>
          <w:szCs w:val="24"/>
        </w:rPr>
        <w:t>Farzaneh Bagheri, Christoph Wenge, Cristian Beceanu</w:t>
      </w:r>
      <w:r>
        <w:rPr>
          <w:rFonts w:cs="Open Sans"/>
          <w:color w:val="575756"/>
          <w:sz w:val="24"/>
          <w:szCs w:val="24"/>
        </w:rPr>
        <w:t>&gt;</w:t>
      </w:r>
    </w:p>
    <w:p w14:paraId="059EFD3D" w14:textId="77777777" w:rsidR="00727737" w:rsidRDefault="00727737"/>
    <w:p w14:paraId="3F65B10D" w14:textId="77777777" w:rsidR="00727737" w:rsidRDefault="00727737"/>
    <w:p w14:paraId="3B4619C9" w14:textId="77777777" w:rsidR="00727737" w:rsidRDefault="00727737"/>
    <w:p w14:paraId="0B581A9A" w14:textId="77777777" w:rsidR="00727737" w:rsidRDefault="00727737"/>
    <w:p w14:paraId="4E012C9C" w14:textId="77777777" w:rsidR="00727737" w:rsidRDefault="00727737"/>
    <w:p w14:paraId="1E192C06" w14:textId="77777777" w:rsidR="00727737" w:rsidRDefault="00727737"/>
    <w:p w14:paraId="46BAA35E" w14:textId="77777777" w:rsidR="00727737" w:rsidRDefault="00727737"/>
    <w:p w14:paraId="011A280A" w14:textId="77777777" w:rsidR="00727737" w:rsidRDefault="00727737"/>
    <w:p w14:paraId="637EC7C5" w14:textId="77777777" w:rsidR="00727737" w:rsidRDefault="00727737"/>
    <w:p w14:paraId="11C2BCFE" w14:textId="77777777" w:rsidR="00727737" w:rsidRDefault="00000000">
      <w:pPr>
        <w:pBdr>
          <w:top w:val="nil"/>
          <w:left w:val="nil"/>
          <w:bottom w:val="nil"/>
          <w:right w:val="nil"/>
          <w:between w:val="nil"/>
        </w:pBdr>
        <w:spacing w:before="120"/>
        <w:jc w:val="center"/>
        <w:rPr>
          <w:rFonts w:cs="Open Sans"/>
          <w:b/>
          <w:color w:val="575756"/>
          <w:sz w:val="28"/>
          <w:szCs w:val="28"/>
        </w:rPr>
      </w:pPr>
      <w:r>
        <w:rPr>
          <w:b/>
          <w:sz w:val="28"/>
          <w:szCs w:val="28"/>
        </w:rPr>
        <w:t>October</w:t>
      </w:r>
      <w:r>
        <w:rPr>
          <w:rFonts w:cs="Open Sans"/>
          <w:b/>
          <w:color w:val="575756"/>
          <w:sz w:val="28"/>
          <w:szCs w:val="28"/>
        </w:rPr>
        <w:t xml:space="preserve"> 20</w:t>
      </w:r>
      <w:r>
        <w:rPr>
          <w:b/>
          <w:sz w:val="28"/>
          <w:szCs w:val="28"/>
        </w:rPr>
        <w:t>24</w:t>
      </w:r>
    </w:p>
    <w:p w14:paraId="76D914D7" w14:textId="77777777" w:rsidR="00727737" w:rsidRDefault="00727737">
      <w:pPr>
        <w:pBdr>
          <w:top w:val="nil"/>
          <w:left w:val="nil"/>
          <w:bottom w:val="nil"/>
          <w:right w:val="nil"/>
          <w:between w:val="nil"/>
        </w:pBdr>
        <w:spacing w:before="120"/>
        <w:jc w:val="center"/>
        <w:rPr>
          <w:rFonts w:cs="Open Sans"/>
          <w:b/>
          <w:color w:val="575756"/>
          <w:sz w:val="28"/>
          <w:szCs w:val="28"/>
        </w:rPr>
      </w:pPr>
    </w:p>
    <w:p w14:paraId="010181A2" w14:textId="77777777" w:rsidR="00727737" w:rsidRDefault="00727737"/>
    <w:p w14:paraId="31D6CB57" w14:textId="77777777" w:rsidR="00727737" w:rsidRDefault="00727737"/>
    <w:p w14:paraId="184397E2" w14:textId="77777777" w:rsidR="00727737" w:rsidRDefault="00727737"/>
    <w:p w14:paraId="74267ED2" w14:textId="77777777" w:rsidR="00727737" w:rsidRDefault="00727737"/>
    <w:p w14:paraId="03DC2BF3" w14:textId="77777777" w:rsidR="00727737" w:rsidRDefault="00727737"/>
    <w:p w14:paraId="308EC97E" w14:textId="77777777" w:rsidR="00727737" w:rsidRDefault="00727737">
      <w:pPr>
        <w:pBdr>
          <w:top w:val="nil"/>
          <w:left w:val="nil"/>
          <w:bottom w:val="nil"/>
          <w:right w:val="nil"/>
          <w:between w:val="nil"/>
        </w:pBdr>
        <w:spacing w:after="240"/>
        <w:rPr>
          <w:rFonts w:cs="Open Sans"/>
          <w:b/>
          <w:smallCaps/>
          <w:color w:val="0489CE"/>
        </w:rPr>
      </w:pPr>
    </w:p>
    <w:p w14:paraId="70D4B3CC" w14:textId="77777777" w:rsidR="00727737" w:rsidRDefault="00000000">
      <w:pPr>
        <w:pBdr>
          <w:top w:val="nil"/>
          <w:left w:val="nil"/>
          <w:bottom w:val="nil"/>
          <w:right w:val="nil"/>
          <w:between w:val="nil"/>
        </w:pBdr>
        <w:spacing w:after="240"/>
        <w:rPr>
          <w:rFonts w:cs="Open Sans"/>
          <w:b/>
          <w:smallCaps/>
          <w:color w:val="0489CE"/>
        </w:rPr>
      </w:pPr>
      <w:r>
        <w:rPr>
          <w:rFonts w:cs="Open Sans"/>
          <w:b/>
          <w:smallCaps/>
          <w:color w:val="0489CE"/>
        </w:rPr>
        <w:t>INTERNAL REFERENCE</w:t>
      </w:r>
    </w:p>
    <w:tbl>
      <w:tblPr>
        <w:tblStyle w:val="a"/>
        <w:tblW w:w="9065" w:type="dxa"/>
        <w:tblInd w:w="-5" w:type="dxa"/>
        <w:tblBorders>
          <w:top w:val="single" w:sz="4" w:space="0" w:color="61BCEF"/>
          <w:left w:val="single" w:sz="4" w:space="0" w:color="61BCEF"/>
          <w:bottom w:val="single" w:sz="4" w:space="0" w:color="61BCEF"/>
          <w:right w:val="single" w:sz="4" w:space="0" w:color="61BCEF"/>
          <w:insideH w:val="single" w:sz="4" w:space="0" w:color="61BCEF"/>
          <w:insideV w:val="single" w:sz="4" w:space="0" w:color="61BCEF"/>
        </w:tblBorders>
        <w:tblLayout w:type="fixed"/>
        <w:tblLook w:val="0400" w:firstRow="0" w:lastRow="0" w:firstColumn="0" w:lastColumn="0" w:noHBand="0" w:noVBand="1"/>
      </w:tblPr>
      <w:tblGrid>
        <w:gridCol w:w="2410"/>
        <w:gridCol w:w="6655"/>
      </w:tblGrid>
      <w:tr w:rsidR="00727737" w14:paraId="2A3FF3DE" w14:textId="77777777">
        <w:tc>
          <w:tcPr>
            <w:tcW w:w="2410" w:type="dxa"/>
            <w:tcBorders>
              <w:right w:val="nil"/>
            </w:tcBorders>
          </w:tcPr>
          <w:p w14:paraId="2B028ED3"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Deliverable No.:</w:t>
            </w:r>
          </w:p>
        </w:tc>
        <w:tc>
          <w:tcPr>
            <w:tcW w:w="6655" w:type="dxa"/>
            <w:tcBorders>
              <w:left w:val="nil"/>
            </w:tcBorders>
          </w:tcPr>
          <w:p w14:paraId="1C2DF5EB"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D 2.3 (2024)</w:t>
            </w:r>
          </w:p>
        </w:tc>
      </w:tr>
      <w:tr w:rsidR="00727737" w14:paraId="0A6EE48A" w14:textId="77777777">
        <w:tc>
          <w:tcPr>
            <w:tcW w:w="2410" w:type="dxa"/>
            <w:tcBorders>
              <w:right w:val="nil"/>
            </w:tcBorders>
          </w:tcPr>
          <w:p w14:paraId="727B47AA"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Deliverable Name:</w:t>
            </w:r>
          </w:p>
        </w:tc>
        <w:tc>
          <w:tcPr>
            <w:tcW w:w="6655" w:type="dxa"/>
            <w:tcBorders>
              <w:left w:val="nil"/>
            </w:tcBorders>
          </w:tcPr>
          <w:p w14:paraId="7E79318D" w14:textId="77777777" w:rsidR="00727737" w:rsidRDefault="00000000">
            <w:pPr>
              <w:tabs>
                <w:tab w:val="center" w:pos="4536"/>
                <w:tab w:val="right" w:pos="9072"/>
              </w:tabs>
              <w:rPr>
                <w:rFonts w:eastAsia="Open Sans" w:cs="Open Sans"/>
                <w:color w:val="575756"/>
              </w:rPr>
            </w:pPr>
            <w:r>
              <w:rPr>
                <w:rFonts w:eastAsia="Open Sans" w:cs="Open Sans"/>
                <w:color w:val="575756"/>
              </w:rPr>
              <w:t xml:space="preserve"> Legal Requirements and Regulatory Analysis Report</w:t>
            </w:r>
          </w:p>
        </w:tc>
      </w:tr>
      <w:tr w:rsidR="00727737" w14:paraId="0F611ADC" w14:textId="77777777">
        <w:tc>
          <w:tcPr>
            <w:tcW w:w="2410" w:type="dxa"/>
            <w:tcBorders>
              <w:right w:val="nil"/>
            </w:tcBorders>
          </w:tcPr>
          <w:p w14:paraId="5B422E6A" w14:textId="77777777" w:rsidR="00727737" w:rsidRDefault="00000000">
            <w:pPr>
              <w:pBdr>
                <w:top w:val="nil"/>
                <w:left w:val="nil"/>
                <w:bottom w:val="nil"/>
                <w:right w:val="nil"/>
                <w:between w:val="nil"/>
              </w:pBdr>
              <w:spacing w:after="0"/>
              <w:ind w:right="0"/>
              <w:rPr>
                <w:rFonts w:eastAsia="Open Sans" w:cs="Open Sans"/>
                <w:b/>
                <w:color w:val="575756"/>
                <w:highlight w:val="yellow"/>
              </w:rPr>
            </w:pPr>
            <w:r>
              <w:rPr>
                <w:rFonts w:eastAsia="Open Sans" w:cs="Open Sans"/>
                <w:b/>
                <w:color w:val="575756"/>
              </w:rPr>
              <w:t>Lead Participant:</w:t>
            </w:r>
          </w:p>
        </w:tc>
        <w:tc>
          <w:tcPr>
            <w:tcW w:w="6655" w:type="dxa"/>
            <w:tcBorders>
              <w:left w:val="nil"/>
            </w:tcBorders>
          </w:tcPr>
          <w:p w14:paraId="14FB7FC3"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INELSO</w:t>
            </w:r>
          </w:p>
        </w:tc>
      </w:tr>
      <w:tr w:rsidR="00727737" w14:paraId="5EB50F68" w14:textId="77777777">
        <w:tc>
          <w:tcPr>
            <w:tcW w:w="2410" w:type="dxa"/>
            <w:tcBorders>
              <w:right w:val="nil"/>
            </w:tcBorders>
            <w:shd w:val="clear" w:color="auto" w:fill="auto"/>
          </w:tcPr>
          <w:p w14:paraId="1B50142F"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Work Package No.:</w:t>
            </w:r>
          </w:p>
        </w:tc>
        <w:tc>
          <w:tcPr>
            <w:tcW w:w="6655" w:type="dxa"/>
            <w:tcBorders>
              <w:left w:val="nil"/>
            </w:tcBorders>
          </w:tcPr>
          <w:p w14:paraId="6A2313A2"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WP2</w:t>
            </w:r>
          </w:p>
        </w:tc>
      </w:tr>
      <w:tr w:rsidR="00727737" w14:paraId="144FEEF2" w14:textId="77777777">
        <w:tc>
          <w:tcPr>
            <w:tcW w:w="2410" w:type="dxa"/>
            <w:tcBorders>
              <w:right w:val="nil"/>
            </w:tcBorders>
            <w:shd w:val="clear" w:color="auto" w:fill="auto"/>
          </w:tcPr>
          <w:p w14:paraId="631CF5A6"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Task No. &amp; Name:</w:t>
            </w:r>
          </w:p>
        </w:tc>
        <w:tc>
          <w:tcPr>
            <w:tcW w:w="6655" w:type="dxa"/>
            <w:tcBorders>
              <w:left w:val="nil"/>
            </w:tcBorders>
          </w:tcPr>
          <w:p w14:paraId="6908DE95"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T 2.3 Legal Requirements and Regulatory Analysis</w:t>
            </w:r>
          </w:p>
        </w:tc>
      </w:tr>
      <w:tr w:rsidR="00727737" w14:paraId="120EE871" w14:textId="77777777">
        <w:tc>
          <w:tcPr>
            <w:tcW w:w="2410" w:type="dxa"/>
            <w:tcBorders>
              <w:right w:val="nil"/>
            </w:tcBorders>
          </w:tcPr>
          <w:p w14:paraId="598E7435"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Document (File):</w:t>
            </w:r>
          </w:p>
        </w:tc>
        <w:tc>
          <w:tcPr>
            <w:tcW w:w="6655" w:type="dxa"/>
            <w:tcBorders>
              <w:left w:val="nil"/>
            </w:tcBorders>
          </w:tcPr>
          <w:p w14:paraId="490CFB3B"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Dokument2 [UPDATE FIELD!]</w:t>
            </w:r>
          </w:p>
        </w:tc>
      </w:tr>
      <w:tr w:rsidR="00727737" w14:paraId="58DE7311" w14:textId="77777777">
        <w:tc>
          <w:tcPr>
            <w:tcW w:w="2410" w:type="dxa"/>
            <w:tcBorders>
              <w:right w:val="nil"/>
            </w:tcBorders>
          </w:tcPr>
          <w:p w14:paraId="60F80101"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Issue (Save) Date:</w:t>
            </w:r>
          </w:p>
        </w:tc>
        <w:tc>
          <w:tcPr>
            <w:tcW w:w="6655" w:type="dxa"/>
            <w:tcBorders>
              <w:left w:val="nil"/>
            </w:tcBorders>
          </w:tcPr>
          <w:p w14:paraId="254B67EB"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0000-00-00 [UPDATE FIELD!]</w:t>
            </w:r>
          </w:p>
        </w:tc>
      </w:tr>
    </w:tbl>
    <w:p w14:paraId="68F14511" w14:textId="77777777" w:rsidR="00727737" w:rsidRDefault="00727737">
      <w:bookmarkStart w:id="1" w:name="_heading=h.30j0zll" w:colFirst="0" w:colLast="0"/>
      <w:bookmarkEnd w:id="1"/>
    </w:p>
    <w:p w14:paraId="0AF37A9D" w14:textId="77777777" w:rsidR="00727737" w:rsidRDefault="00000000">
      <w:pPr>
        <w:pBdr>
          <w:top w:val="nil"/>
          <w:left w:val="nil"/>
          <w:bottom w:val="nil"/>
          <w:right w:val="nil"/>
          <w:between w:val="nil"/>
        </w:pBdr>
        <w:spacing w:after="240"/>
        <w:rPr>
          <w:rFonts w:cs="Open Sans"/>
          <w:b/>
          <w:smallCaps/>
          <w:color w:val="0489CE"/>
        </w:rPr>
      </w:pPr>
      <w:r>
        <w:rPr>
          <w:rFonts w:cs="Open Sans"/>
          <w:b/>
          <w:smallCaps/>
          <w:color w:val="0489CE"/>
        </w:rPr>
        <w:t>Document status</w:t>
      </w:r>
    </w:p>
    <w:tbl>
      <w:tblPr>
        <w:tblStyle w:val="a0"/>
        <w:tblW w:w="9180" w:type="dxa"/>
        <w:tblBorders>
          <w:top w:val="single" w:sz="4" w:space="0" w:color="61BCEF"/>
          <w:left w:val="single" w:sz="4" w:space="0" w:color="61BCEF"/>
          <w:bottom w:val="single" w:sz="4" w:space="0" w:color="61BCEF"/>
          <w:right w:val="single" w:sz="4" w:space="0" w:color="61BCEF"/>
          <w:insideH w:val="single" w:sz="4" w:space="0" w:color="61BCEF"/>
          <w:insideV w:val="single" w:sz="4" w:space="0" w:color="61BCEF"/>
        </w:tblBorders>
        <w:tblLayout w:type="fixed"/>
        <w:tblLook w:val="0400" w:firstRow="0" w:lastRow="0" w:firstColumn="0" w:lastColumn="0" w:noHBand="0" w:noVBand="1"/>
      </w:tblPr>
      <w:tblGrid>
        <w:gridCol w:w="1951"/>
        <w:gridCol w:w="1730"/>
        <w:gridCol w:w="1814"/>
        <w:gridCol w:w="3685"/>
      </w:tblGrid>
      <w:tr w:rsidR="00727737" w14:paraId="480C9F37" w14:textId="77777777">
        <w:trPr>
          <w:trHeight w:val="525"/>
        </w:trPr>
        <w:tc>
          <w:tcPr>
            <w:tcW w:w="1951" w:type="dxa"/>
            <w:tcBorders>
              <w:top w:val="single" w:sz="4" w:space="0" w:color="CCCCCC"/>
              <w:left w:val="single" w:sz="4" w:space="0" w:color="CCCCCC"/>
              <w:bottom w:val="dotted" w:sz="4" w:space="0" w:color="CCCCCC"/>
              <w:right w:val="dotted" w:sz="4" w:space="0" w:color="CCCCCC"/>
            </w:tcBorders>
            <w:shd w:val="clear" w:color="auto" w:fill="CCCCCC"/>
          </w:tcPr>
          <w:p w14:paraId="39B39FEB" w14:textId="77777777" w:rsidR="00727737" w:rsidRDefault="00727737">
            <w:pPr>
              <w:pBdr>
                <w:top w:val="nil"/>
                <w:left w:val="nil"/>
                <w:bottom w:val="nil"/>
                <w:right w:val="nil"/>
                <w:between w:val="nil"/>
              </w:pBdr>
              <w:spacing w:after="0"/>
              <w:ind w:right="0"/>
              <w:rPr>
                <w:rFonts w:eastAsia="Open Sans" w:cs="Open Sans"/>
                <w:b/>
                <w:color w:val="575756"/>
              </w:rPr>
            </w:pPr>
          </w:p>
        </w:tc>
        <w:tc>
          <w:tcPr>
            <w:tcW w:w="1730" w:type="dxa"/>
            <w:tcBorders>
              <w:top w:val="single" w:sz="4" w:space="0" w:color="CCCCCC"/>
              <w:left w:val="dotted" w:sz="4" w:space="0" w:color="CCCCCC"/>
              <w:bottom w:val="dotted" w:sz="4" w:space="0" w:color="CCCCCC"/>
              <w:right w:val="dotted" w:sz="4" w:space="0" w:color="CCCCCC"/>
            </w:tcBorders>
            <w:shd w:val="clear" w:color="auto" w:fill="CCCCCC"/>
            <w:vAlign w:val="center"/>
          </w:tcPr>
          <w:p w14:paraId="3B0ACDC4"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Date</w:t>
            </w:r>
          </w:p>
        </w:tc>
        <w:tc>
          <w:tcPr>
            <w:tcW w:w="1814" w:type="dxa"/>
            <w:tcBorders>
              <w:top w:val="single" w:sz="4" w:space="0" w:color="CCCCCC"/>
              <w:left w:val="dotted" w:sz="4" w:space="0" w:color="CCCCCC"/>
              <w:bottom w:val="dotted" w:sz="4" w:space="0" w:color="CCCCCC"/>
              <w:right w:val="dotted" w:sz="4" w:space="0" w:color="CCCCCC"/>
            </w:tcBorders>
            <w:shd w:val="clear" w:color="auto" w:fill="CCCCCC"/>
            <w:vAlign w:val="center"/>
          </w:tcPr>
          <w:p w14:paraId="2884B86A"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Person(s)</w:t>
            </w:r>
          </w:p>
        </w:tc>
        <w:tc>
          <w:tcPr>
            <w:tcW w:w="3685" w:type="dxa"/>
            <w:tcBorders>
              <w:top w:val="single" w:sz="4" w:space="0" w:color="CCCCCC"/>
              <w:left w:val="dotted" w:sz="4" w:space="0" w:color="CCCCCC"/>
              <w:bottom w:val="dotted" w:sz="4" w:space="0" w:color="CCCCCC"/>
              <w:right w:val="single" w:sz="4" w:space="0" w:color="CCCCCC"/>
            </w:tcBorders>
            <w:shd w:val="clear" w:color="auto" w:fill="CCCCCC"/>
            <w:vAlign w:val="center"/>
          </w:tcPr>
          <w:p w14:paraId="06A376AE"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Organization</w:t>
            </w:r>
          </w:p>
        </w:tc>
      </w:tr>
      <w:tr w:rsidR="00727737" w14:paraId="547897C5" w14:textId="77777777">
        <w:trPr>
          <w:trHeight w:val="407"/>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2744EF0D"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Author(s)</w:t>
            </w:r>
          </w:p>
        </w:tc>
        <w:tc>
          <w:tcPr>
            <w:tcW w:w="1730" w:type="dxa"/>
            <w:tcBorders>
              <w:top w:val="dotted" w:sz="4" w:space="0" w:color="CCCCCC"/>
              <w:left w:val="dotted" w:sz="4" w:space="0" w:color="CCCCCC"/>
              <w:bottom w:val="single" w:sz="4" w:space="0" w:color="CCCCCC"/>
              <w:right w:val="single" w:sz="4" w:space="0" w:color="CCCCCC"/>
            </w:tcBorders>
          </w:tcPr>
          <w:p w14:paraId="1A93990C"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2024-10-30</w:t>
            </w:r>
          </w:p>
        </w:tc>
        <w:tc>
          <w:tcPr>
            <w:tcW w:w="1814" w:type="dxa"/>
            <w:tcBorders>
              <w:top w:val="dotted" w:sz="4" w:space="0" w:color="CCCCCC"/>
              <w:left w:val="single" w:sz="4" w:space="0" w:color="CCCCCC"/>
              <w:bottom w:val="single" w:sz="4" w:space="0" w:color="CCCCCC"/>
              <w:right w:val="single" w:sz="4" w:space="0" w:color="CCCCCC"/>
            </w:tcBorders>
          </w:tcPr>
          <w:p w14:paraId="2B63143D" w14:textId="77777777" w:rsidR="00727737" w:rsidRDefault="00000000">
            <w:pPr>
              <w:spacing w:after="0"/>
              <w:ind w:right="0"/>
              <w:rPr>
                <w:rFonts w:eastAsia="Open Sans" w:cs="Open Sans"/>
                <w:color w:val="575756"/>
              </w:rPr>
            </w:pPr>
            <w:r>
              <w:rPr>
                <w:rFonts w:eastAsia="Open Sans" w:cs="Open Sans"/>
                <w:color w:val="575756"/>
              </w:rPr>
              <w:t>Farzaneh Bagheri</w:t>
            </w:r>
          </w:p>
        </w:tc>
        <w:tc>
          <w:tcPr>
            <w:tcW w:w="3685" w:type="dxa"/>
            <w:tcBorders>
              <w:top w:val="dotted" w:sz="4" w:space="0" w:color="CCCCCC"/>
              <w:left w:val="single" w:sz="4" w:space="0" w:color="CCCCCC"/>
              <w:bottom w:val="single" w:sz="4" w:space="0" w:color="CCCCCC"/>
              <w:right w:val="single" w:sz="4" w:space="0" w:color="CCCCCC"/>
            </w:tcBorders>
          </w:tcPr>
          <w:p w14:paraId="130C2874" w14:textId="77777777" w:rsidR="00727737" w:rsidRDefault="00000000">
            <w:pPr>
              <w:spacing w:after="0"/>
              <w:ind w:right="0"/>
              <w:rPr>
                <w:rFonts w:eastAsia="Open Sans" w:cs="Open Sans"/>
                <w:color w:val="575756"/>
              </w:rPr>
            </w:pPr>
            <w:r>
              <w:rPr>
                <w:rFonts w:eastAsia="Open Sans" w:cs="Open Sans"/>
                <w:color w:val="575756"/>
              </w:rPr>
              <w:t>INELSO Energy Company</w:t>
            </w:r>
          </w:p>
        </w:tc>
      </w:tr>
      <w:tr w:rsidR="00727737" w14:paraId="55018593" w14:textId="77777777">
        <w:trPr>
          <w:trHeight w:val="235"/>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31635229" w14:textId="77777777" w:rsidR="00727737" w:rsidRDefault="00727737">
            <w:pPr>
              <w:pBdr>
                <w:top w:val="nil"/>
                <w:left w:val="nil"/>
                <w:bottom w:val="nil"/>
                <w:right w:val="nil"/>
                <w:between w:val="nil"/>
              </w:pBdr>
              <w:spacing w:after="0"/>
              <w:ind w:right="0"/>
              <w:rPr>
                <w:rFonts w:eastAsia="Open Sans" w:cs="Open Sans"/>
                <w:b/>
                <w:color w:val="575756"/>
              </w:rPr>
            </w:pPr>
          </w:p>
        </w:tc>
        <w:tc>
          <w:tcPr>
            <w:tcW w:w="1730" w:type="dxa"/>
            <w:tcBorders>
              <w:top w:val="single" w:sz="4" w:space="0" w:color="CCCCCC"/>
              <w:left w:val="dotted" w:sz="4" w:space="0" w:color="CCCCCC"/>
              <w:bottom w:val="single" w:sz="4" w:space="0" w:color="CCCCCC"/>
              <w:right w:val="single" w:sz="4" w:space="0" w:color="CCCCCC"/>
            </w:tcBorders>
          </w:tcPr>
          <w:p w14:paraId="4A53B075" w14:textId="77777777" w:rsidR="00727737" w:rsidRDefault="00000000">
            <w:pPr>
              <w:spacing w:after="0"/>
              <w:ind w:right="0"/>
              <w:rPr>
                <w:rFonts w:eastAsia="Open Sans" w:cs="Open Sans"/>
                <w:color w:val="575756"/>
              </w:rPr>
            </w:pPr>
            <w:r>
              <w:rPr>
                <w:rFonts w:eastAsia="Open Sans" w:cs="Open Sans"/>
                <w:color w:val="575756"/>
              </w:rPr>
              <w:t>2024-10-30</w:t>
            </w:r>
          </w:p>
        </w:tc>
        <w:tc>
          <w:tcPr>
            <w:tcW w:w="1814" w:type="dxa"/>
            <w:tcBorders>
              <w:top w:val="single" w:sz="4" w:space="0" w:color="CCCCCC"/>
              <w:left w:val="single" w:sz="4" w:space="0" w:color="CCCCCC"/>
              <w:bottom w:val="single" w:sz="4" w:space="0" w:color="CCCCCC"/>
              <w:right w:val="single" w:sz="4" w:space="0" w:color="CCCCCC"/>
            </w:tcBorders>
          </w:tcPr>
          <w:p w14:paraId="07A54FE0" w14:textId="77777777" w:rsidR="00727737" w:rsidRDefault="00000000">
            <w:pPr>
              <w:spacing w:after="0"/>
              <w:ind w:right="0"/>
              <w:rPr>
                <w:rFonts w:eastAsia="Open Sans" w:cs="Open Sans"/>
                <w:color w:val="575756"/>
              </w:rPr>
            </w:pPr>
            <w:r>
              <w:rPr>
                <w:rFonts w:eastAsia="Open Sans" w:cs="Open Sans"/>
                <w:color w:val="575756"/>
              </w:rPr>
              <w:t>Christoph Wenge</w:t>
            </w:r>
          </w:p>
        </w:tc>
        <w:tc>
          <w:tcPr>
            <w:tcW w:w="3685" w:type="dxa"/>
            <w:tcBorders>
              <w:top w:val="single" w:sz="4" w:space="0" w:color="CCCCCC"/>
              <w:left w:val="single" w:sz="4" w:space="0" w:color="CCCCCC"/>
              <w:bottom w:val="single" w:sz="4" w:space="0" w:color="CCCCCC"/>
              <w:right w:val="single" w:sz="4" w:space="0" w:color="CCCCCC"/>
            </w:tcBorders>
          </w:tcPr>
          <w:p w14:paraId="6BF5EFE8" w14:textId="77777777" w:rsidR="00727737" w:rsidRDefault="00000000">
            <w:pPr>
              <w:spacing w:after="0"/>
              <w:ind w:right="0"/>
              <w:rPr>
                <w:rFonts w:eastAsia="Open Sans" w:cs="Open Sans"/>
                <w:color w:val="575756"/>
              </w:rPr>
            </w:pPr>
            <w:r>
              <w:rPr>
                <w:rFonts w:eastAsia="Open Sans" w:cs="Open Sans"/>
                <w:color w:val="575756"/>
              </w:rPr>
              <w:t>Fraunhofer IFF</w:t>
            </w:r>
          </w:p>
        </w:tc>
      </w:tr>
      <w:tr w:rsidR="00727737" w14:paraId="15E3CC2A" w14:textId="77777777">
        <w:trPr>
          <w:trHeight w:val="255"/>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366E40A1" w14:textId="77777777" w:rsidR="00727737" w:rsidRDefault="00727737">
            <w:pPr>
              <w:pBdr>
                <w:top w:val="nil"/>
                <w:left w:val="nil"/>
                <w:bottom w:val="nil"/>
                <w:right w:val="nil"/>
                <w:between w:val="nil"/>
              </w:pBdr>
              <w:spacing w:after="0"/>
              <w:ind w:right="0"/>
              <w:rPr>
                <w:rFonts w:eastAsia="Open Sans" w:cs="Open Sans"/>
                <w:b/>
                <w:color w:val="575756"/>
              </w:rPr>
            </w:pPr>
          </w:p>
        </w:tc>
        <w:tc>
          <w:tcPr>
            <w:tcW w:w="1730" w:type="dxa"/>
            <w:tcBorders>
              <w:top w:val="single" w:sz="4" w:space="0" w:color="CCCCCC"/>
              <w:left w:val="dotted" w:sz="4" w:space="0" w:color="CCCCCC"/>
              <w:bottom w:val="single" w:sz="4" w:space="0" w:color="CCCCCC"/>
              <w:right w:val="single" w:sz="4" w:space="0" w:color="CCCCCC"/>
            </w:tcBorders>
          </w:tcPr>
          <w:p w14:paraId="3EB22D5D" w14:textId="77777777" w:rsidR="00727737" w:rsidRDefault="00000000">
            <w:pPr>
              <w:spacing w:after="0"/>
              <w:ind w:right="0"/>
              <w:rPr>
                <w:rFonts w:eastAsia="Open Sans" w:cs="Open Sans"/>
                <w:color w:val="575756"/>
              </w:rPr>
            </w:pPr>
            <w:r>
              <w:rPr>
                <w:rFonts w:eastAsia="Open Sans" w:cs="Open Sans"/>
                <w:color w:val="575756"/>
              </w:rPr>
              <w:t>2024-10-30</w:t>
            </w:r>
          </w:p>
        </w:tc>
        <w:tc>
          <w:tcPr>
            <w:tcW w:w="1814" w:type="dxa"/>
            <w:tcBorders>
              <w:top w:val="single" w:sz="4" w:space="0" w:color="CCCCCC"/>
              <w:left w:val="single" w:sz="4" w:space="0" w:color="CCCCCC"/>
              <w:bottom w:val="single" w:sz="4" w:space="0" w:color="CCCCCC"/>
              <w:right w:val="single" w:sz="4" w:space="0" w:color="CCCCCC"/>
            </w:tcBorders>
          </w:tcPr>
          <w:p w14:paraId="5483308F"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Cristian Beceanu</w:t>
            </w:r>
          </w:p>
        </w:tc>
        <w:tc>
          <w:tcPr>
            <w:tcW w:w="3685" w:type="dxa"/>
            <w:tcBorders>
              <w:top w:val="single" w:sz="4" w:space="0" w:color="CCCCCC"/>
              <w:left w:val="single" w:sz="4" w:space="0" w:color="CCCCCC"/>
              <w:bottom w:val="single" w:sz="4" w:space="0" w:color="CCCCCC"/>
              <w:right w:val="single" w:sz="4" w:space="0" w:color="CCCCCC"/>
            </w:tcBorders>
          </w:tcPr>
          <w:p w14:paraId="47EACDBE"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Beia Consult</w:t>
            </w:r>
          </w:p>
        </w:tc>
      </w:tr>
      <w:tr w:rsidR="00727737" w14:paraId="39C5083B" w14:textId="77777777">
        <w:trPr>
          <w:trHeight w:val="311"/>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5F1C2E70" w14:textId="77777777" w:rsidR="00727737" w:rsidRDefault="00727737">
            <w:pPr>
              <w:pBdr>
                <w:top w:val="nil"/>
                <w:left w:val="nil"/>
                <w:bottom w:val="nil"/>
                <w:right w:val="nil"/>
                <w:between w:val="nil"/>
              </w:pBdr>
              <w:spacing w:after="0"/>
              <w:ind w:right="0"/>
              <w:rPr>
                <w:rFonts w:eastAsia="Open Sans" w:cs="Open Sans"/>
                <w:b/>
                <w:color w:val="575756"/>
              </w:rPr>
            </w:pPr>
          </w:p>
        </w:tc>
        <w:tc>
          <w:tcPr>
            <w:tcW w:w="1730" w:type="dxa"/>
            <w:tcBorders>
              <w:top w:val="single" w:sz="4" w:space="0" w:color="CCCCCC"/>
              <w:left w:val="dotted" w:sz="4" w:space="0" w:color="CCCCCC"/>
              <w:bottom w:val="single" w:sz="4" w:space="0" w:color="CCCCCC"/>
              <w:right w:val="single" w:sz="4" w:space="0" w:color="CCCCCC"/>
            </w:tcBorders>
          </w:tcPr>
          <w:p w14:paraId="572E6DF4" w14:textId="77777777" w:rsidR="00727737" w:rsidRDefault="00727737">
            <w:pPr>
              <w:pBdr>
                <w:top w:val="nil"/>
                <w:left w:val="nil"/>
                <w:bottom w:val="nil"/>
                <w:right w:val="nil"/>
                <w:between w:val="nil"/>
              </w:pBdr>
              <w:spacing w:after="0"/>
              <w:ind w:right="0"/>
              <w:rPr>
                <w:rFonts w:eastAsia="Open Sans" w:cs="Open Sans"/>
                <w:color w:val="575756"/>
              </w:rPr>
            </w:pPr>
          </w:p>
        </w:tc>
        <w:tc>
          <w:tcPr>
            <w:tcW w:w="1814" w:type="dxa"/>
            <w:tcBorders>
              <w:top w:val="single" w:sz="4" w:space="0" w:color="CCCCCC"/>
              <w:left w:val="single" w:sz="4" w:space="0" w:color="CCCCCC"/>
              <w:bottom w:val="single" w:sz="4" w:space="0" w:color="CCCCCC"/>
              <w:right w:val="single" w:sz="4" w:space="0" w:color="CCCCCC"/>
            </w:tcBorders>
          </w:tcPr>
          <w:p w14:paraId="2B3D1FBB" w14:textId="77777777" w:rsidR="00727737" w:rsidRDefault="00727737">
            <w:pPr>
              <w:pBdr>
                <w:top w:val="nil"/>
                <w:left w:val="nil"/>
                <w:bottom w:val="nil"/>
                <w:right w:val="nil"/>
                <w:between w:val="nil"/>
              </w:pBdr>
              <w:spacing w:after="0"/>
              <w:ind w:right="0"/>
              <w:rPr>
                <w:rFonts w:eastAsia="Open Sans" w:cs="Open Sans"/>
                <w:color w:val="575756"/>
              </w:rPr>
            </w:pPr>
          </w:p>
        </w:tc>
        <w:tc>
          <w:tcPr>
            <w:tcW w:w="3685" w:type="dxa"/>
            <w:tcBorders>
              <w:top w:val="single" w:sz="4" w:space="0" w:color="CCCCCC"/>
              <w:left w:val="single" w:sz="4" w:space="0" w:color="CCCCCC"/>
              <w:bottom w:val="single" w:sz="4" w:space="0" w:color="CCCCCC"/>
              <w:right w:val="single" w:sz="4" w:space="0" w:color="CCCCCC"/>
            </w:tcBorders>
          </w:tcPr>
          <w:p w14:paraId="62F70699" w14:textId="77777777" w:rsidR="00727737" w:rsidRDefault="00727737">
            <w:pPr>
              <w:pBdr>
                <w:top w:val="nil"/>
                <w:left w:val="nil"/>
                <w:bottom w:val="nil"/>
                <w:right w:val="nil"/>
                <w:between w:val="nil"/>
              </w:pBdr>
              <w:spacing w:after="0"/>
              <w:ind w:right="0"/>
              <w:rPr>
                <w:rFonts w:eastAsia="Open Sans" w:cs="Open Sans"/>
                <w:color w:val="575756"/>
              </w:rPr>
            </w:pPr>
          </w:p>
        </w:tc>
      </w:tr>
      <w:tr w:rsidR="00727737" w14:paraId="349CF361" w14:textId="77777777">
        <w:trPr>
          <w:trHeight w:val="77"/>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56D98172"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Verification by</w:t>
            </w:r>
          </w:p>
        </w:tc>
        <w:tc>
          <w:tcPr>
            <w:tcW w:w="1730" w:type="dxa"/>
            <w:tcBorders>
              <w:top w:val="single" w:sz="4" w:space="0" w:color="CCCCCC"/>
              <w:left w:val="dotted" w:sz="4" w:space="0" w:color="CCCCCC"/>
              <w:bottom w:val="single" w:sz="4" w:space="0" w:color="CCCCCC"/>
              <w:right w:val="single" w:sz="4" w:space="0" w:color="CCCCCC"/>
            </w:tcBorders>
          </w:tcPr>
          <w:p w14:paraId="7147CD39"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2024-11-15</w:t>
            </w:r>
          </w:p>
        </w:tc>
        <w:tc>
          <w:tcPr>
            <w:tcW w:w="1814" w:type="dxa"/>
            <w:tcBorders>
              <w:top w:val="single" w:sz="4" w:space="0" w:color="CCCCCC"/>
              <w:left w:val="single" w:sz="4" w:space="0" w:color="CCCCCC"/>
              <w:bottom w:val="single" w:sz="4" w:space="0" w:color="CCCCCC"/>
              <w:right w:val="single" w:sz="4" w:space="0" w:color="CCCCCC"/>
            </w:tcBorders>
          </w:tcPr>
          <w:p w14:paraId="6A99099A"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Cristian Beceanu</w:t>
            </w:r>
          </w:p>
        </w:tc>
        <w:tc>
          <w:tcPr>
            <w:tcW w:w="3685" w:type="dxa"/>
            <w:tcBorders>
              <w:top w:val="single" w:sz="4" w:space="0" w:color="CCCCCC"/>
              <w:left w:val="single" w:sz="4" w:space="0" w:color="CCCCCC"/>
              <w:bottom w:val="single" w:sz="4" w:space="0" w:color="CCCCCC"/>
              <w:right w:val="single" w:sz="4" w:space="0" w:color="CCCCCC"/>
            </w:tcBorders>
          </w:tcPr>
          <w:p w14:paraId="0C124991" w14:textId="77777777" w:rsidR="00727737"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Beia Consult</w:t>
            </w:r>
          </w:p>
        </w:tc>
      </w:tr>
      <w:tr w:rsidR="00727737" w14:paraId="59F15CB3" w14:textId="77777777">
        <w:trPr>
          <w:trHeight w:val="77"/>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04319075"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Approval by</w:t>
            </w:r>
          </w:p>
        </w:tc>
        <w:tc>
          <w:tcPr>
            <w:tcW w:w="1730" w:type="dxa"/>
            <w:tcBorders>
              <w:top w:val="single" w:sz="4" w:space="0" w:color="CCCCCC"/>
              <w:left w:val="dotted" w:sz="4" w:space="0" w:color="CCCCCC"/>
              <w:bottom w:val="single" w:sz="4" w:space="0" w:color="CCCCCC"/>
              <w:right w:val="single" w:sz="4" w:space="0" w:color="CCCCCC"/>
            </w:tcBorders>
          </w:tcPr>
          <w:p w14:paraId="7C7F7F2A" w14:textId="77777777" w:rsidR="00727737" w:rsidRDefault="00727737">
            <w:pPr>
              <w:pBdr>
                <w:top w:val="nil"/>
                <w:left w:val="nil"/>
                <w:bottom w:val="nil"/>
                <w:right w:val="nil"/>
                <w:between w:val="nil"/>
              </w:pBdr>
              <w:spacing w:after="0"/>
              <w:ind w:right="0"/>
              <w:rPr>
                <w:rFonts w:eastAsia="Open Sans" w:cs="Open Sans"/>
                <w:color w:val="575756"/>
              </w:rPr>
            </w:pPr>
          </w:p>
        </w:tc>
        <w:tc>
          <w:tcPr>
            <w:tcW w:w="1814" w:type="dxa"/>
            <w:tcBorders>
              <w:top w:val="single" w:sz="4" w:space="0" w:color="CCCCCC"/>
              <w:left w:val="single" w:sz="4" w:space="0" w:color="CCCCCC"/>
              <w:bottom w:val="single" w:sz="4" w:space="0" w:color="CCCCCC"/>
              <w:right w:val="single" w:sz="4" w:space="0" w:color="CCCCCC"/>
            </w:tcBorders>
          </w:tcPr>
          <w:p w14:paraId="423E63F8" w14:textId="77777777" w:rsidR="00727737" w:rsidRDefault="00727737">
            <w:pPr>
              <w:pBdr>
                <w:top w:val="nil"/>
                <w:left w:val="nil"/>
                <w:bottom w:val="nil"/>
                <w:right w:val="nil"/>
                <w:between w:val="nil"/>
              </w:pBdr>
              <w:spacing w:after="0"/>
              <w:ind w:right="0"/>
              <w:rPr>
                <w:rFonts w:eastAsia="Open Sans" w:cs="Open Sans"/>
                <w:color w:val="575756"/>
              </w:rPr>
            </w:pPr>
          </w:p>
        </w:tc>
        <w:tc>
          <w:tcPr>
            <w:tcW w:w="3685" w:type="dxa"/>
            <w:tcBorders>
              <w:top w:val="single" w:sz="4" w:space="0" w:color="CCCCCC"/>
              <w:left w:val="single" w:sz="4" w:space="0" w:color="CCCCCC"/>
              <w:bottom w:val="single" w:sz="4" w:space="0" w:color="CCCCCC"/>
              <w:right w:val="single" w:sz="4" w:space="0" w:color="CCCCCC"/>
            </w:tcBorders>
          </w:tcPr>
          <w:p w14:paraId="6E8E08B8" w14:textId="77777777" w:rsidR="00727737" w:rsidRDefault="00727737">
            <w:pPr>
              <w:pBdr>
                <w:top w:val="nil"/>
                <w:left w:val="nil"/>
                <w:bottom w:val="nil"/>
                <w:right w:val="nil"/>
                <w:between w:val="nil"/>
              </w:pBdr>
              <w:spacing w:after="0"/>
              <w:ind w:right="0"/>
              <w:rPr>
                <w:rFonts w:eastAsia="Open Sans" w:cs="Open Sans"/>
                <w:color w:val="575756"/>
              </w:rPr>
            </w:pPr>
          </w:p>
        </w:tc>
      </w:tr>
      <w:tr w:rsidR="00727737" w14:paraId="29E984BF" w14:textId="77777777">
        <w:trPr>
          <w:trHeight w:val="77"/>
        </w:trPr>
        <w:tc>
          <w:tcPr>
            <w:tcW w:w="1951" w:type="dxa"/>
            <w:tcBorders>
              <w:top w:val="dotted" w:sz="4" w:space="0" w:color="CCCCCC"/>
              <w:left w:val="single" w:sz="4" w:space="0" w:color="CCCCCC"/>
              <w:bottom w:val="single" w:sz="4" w:space="0" w:color="CCCCCC"/>
              <w:right w:val="dotted" w:sz="4" w:space="0" w:color="CCCCCC"/>
            </w:tcBorders>
            <w:shd w:val="clear" w:color="auto" w:fill="CCCCCC"/>
          </w:tcPr>
          <w:p w14:paraId="1B7E2190" w14:textId="77777777" w:rsidR="00727737"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Approval by</w:t>
            </w:r>
          </w:p>
        </w:tc>
        <w:tc>
          <w:tcPr>
            <w:tcW w:w="1730" w:type="dxa"/>
            <w:tcBorders>
              <w:top w:val="single" w:sz="4" w:space="0" w:color="CCCCCC"/>
              <w:left w:val="dotted" w:sz="4" w:space="0" w:color="CCCCCC"/>
              <w:bottom w:val="single" w:sz="4" w:space="0" w:color="CCCCCC"/>
              <w:right w:val="single" w:sz="4" w:space="0" w:color="CCCCCC"/>
            </w:tcBorders>
            <w:shd w:val="clear" w:color="auto" w:fill="auto"/>
          </w:tcPr>
          <w:p w14:paraId="50DA3F51" w14:textId="77777777" w:rsidR="00727737" w:rsidRDefault="00727737">
            <w:pPr>
              <w:pBdr>
                <w:top w:val="nil"/>
                <w:left w:val="nil"/>
                <w:bottom w:val="nil"/>
                <w:right w:val="nil"/>
                <w:between w:val="nil"/>
              </w:pBdr>
              <w:spacing w:after="0"/>
              <w:ind w:right="0"/>
              <w:rPr>
                <w:rFonts w:eastAsia="Open Sans" w:cs="Open Sans"/>
                <w:color w:val="575756"/>
              </w:rPr>
            </w:pPr>
          </w:p>
        </w:tc>
        <w:tc>
          <w:tcPr>
            <w:tcW w:w="1814" w:type="dxa"/>
            <w:tcBorders>
              <w:top w:val="single" w:sz="4" w:space="0" w:color="CCCCCC"/>
              <w:left w:val="single" w:sz="4" w:space="0" w:color="CCCCCC"/>
              <w:bottom w:val="single" w:sz="4" w:space="0" w:color="CCCCCC"/>
              <w:right w:val="single" w:sz="4" w:space="0" w:color="CCCCCC"/>
            </w:tcBorders>
            <w:shd w:val="clear" w:color="auto" w:fill="auto"/>
          </w:tcPr>
          <w:p w14:paraId="5FBBF47E" w14:textId="77777777" w:rsidR="00727737" w:rsidRDefault="00727737">
            <w:pPr>
              <w:pBdr>
                <w:top w:val="nil"/>
                <w:left w:val="nil"/>
                <w:bottom w:val="nil"/>
                <w:right w:val="nil"/>
                <w:between w:val="nil"/>
              </w:pBdr>
              <w:spacing w:after="0"/>
              <w:ind w:right="0"/>
              <w:rPr>
                <w:rFonts w:eastAsia="Open Sans" w:cs="Open Sans"/>
                <w:color w:val="575756"/>
              </w:rPr>
            </w:pPr>
          </w:p>
        </w:tc>
        <w:tc>
          <w:tcPr>
            <w:tcW w:w="3685" w:type="dxa"/>
            <w:tcBorders>
              <w:top w:val="single" w:sz="4" w:space="0" w:color="CCCCCC"/>
              <w:left w:val="single" w:sz="4" w:space="0" w:color="CCCCCC"/>
              <w:bottom w:val="single" w:sz="4" w:space="0" w:color="CCCCCC"/>
              <w:right w:val="single" w:sz="4" w:space="0" w:color="CCCCCC"/>
            </w:tcBorders>
            <w:shd w:val="clear" w:color="auto" w:fill="auto"/>
          </w:tcPr>
          <w:p w14:paraId="489F7F75" w14:textId="77777777" w:rsidR="00727737" w:rsidRDefault="00727737">
            <w:pPr>
              <w:pBdr>
                <w:top w:val="nil"/>
                <w:left w:val="nil"/>
                <w:bottom w:val="nil"/>
                <w:right w:val="nil"/>
                <w:between w:val="nil"/>
              </w:pBdr>
              <w:spacing w:after="0"/>
              <w:ind w:right="0"/>
              <w:rPr>
                <w:rFonts w:eastAsia="Open Sans" w:cs="Open Sans"/>
                <w:color w:val="575756"/>
              </w:rPr>
            </w:pPr>
          </w:p>
        </w:tc>
      </w:tr>
    </w:tbl>
    <w:p w14:paraId="7E9653AC" w14:textId="77777777" w:rsidR="00727737" w:rsidRDefault="00727737">
      <w:pPr>
        <w:pBdr>
          <w:top w:val="nil"/>
          <w:left w:val="nil"/>
          <w:bottom w:val="nil"/>
          <w:right w:val="nil"/>
          <w:between w:val="nil"/>
        </w:pBdr>
        <w:spacing w:after="240"/>
        <w:rPr>
          <w:rFonts w:cs="Open Sans"/>
          <w:b/>
          <w:smallCaps/>
          <w:color w:val="0489CE"/>
        </w:rPr>
      </w:pPr>
    </w:p>
    <w:p w14:paraId="6814E7D7" w14:textId="77777777" w:rsidR="00727737" w:rsidRDefault="00000000">
      <w:pPr>
        <w:pBdr>
          <w:top w:val="nil"/>
          <w:left w:val="nil"/>
          <w:bottom w:val="nil"/>
          <w:right w:val="nil"/>
          <w:between w:val="nil"/>
        </w:pBdr>
        <w:spacing w:after="240"/>
        <w:rPr>
          <w:rFonts w:cs="Open Sans"/>
          <w:b/>
          <w:smallCaps/>
          <w:color w:val="0489CE"/>
        </w:rPr>
      </w:pPr>
      <w:r>
        <w:rPr>
          <w:rFonts w:cs="Open Sans"/>
          <w:b/>
          <w:smallCaps/>
          <w:color w:val="0489CE"/>
        </w:rPr>
        <w:t>Document sensitivity</w:t>
      </w:r>
    </w:p>
    <w:tbl>
      <w:tblPr>
        <w:tblStyle w:val="a1"/>
        <w:tblW w:w="8837" w:type="dxa"/>
        <w:tblLayout w:type="fixed"/>
        <w:tblLook w:val="0000" w:firstRow="0" w:lastRow="0" w:firstColumn="0" w:lastColumn="0" w:noHBand="0" w:noVBand="0"/>
      </w:tblPr>
      <w:tblGrid>
        <w:gridCol w:w="609"/>
        <w:gridCol w:w="1981"/>
        <w:gridCol w:w="6247"/>
      </w:tblGrid>
      <w:tr w:rsidR="00727737" w14:paraId="1156DCCF" w14:textId="77777777">
        <w:trPr>
          <w:trHeight w:val="615"/>
        </w:trPr>
        <w:tc>
          <w:tcPr>
            <w:tcW w:w="609" w:type="dxa"/>
          </w:tcPr>
          <w:p w14:paraId="050F14C7" w14:textId="77777777" w:rsidR="00727737" w:rsidRDefault="00000000">
            <w:pPr>
              <w:pBdr>
                <w:top w:val="nil"/>
                <w:left w:val="nil"/>
                <w:bottom w:val="nil"/>
                <w:right w:val="nil"/>
                <w:between w:val="nil"/>
              </w:pBdr>
              <w:spacing w:after="0"/>
              <w:ind w:right="0"/>
              <w:rPr>
                <w:rFonts w:eastAsia="Open Sans" w:cs="Open Sans"/>
                <w:color w:val="575756"/>
                <w:sz w:val="20"/>
                <w:szCs w:val="20"/>
              </w:rPr>
            </w:pPr>
            <w:sdt>
              <w:sdtPr>
                <w:tag w:val="goog_rdk_0"/>
                <w:id w:val="2025205634"/>
              </w:sdtPr>
              <w:sdtContent>
                <w:r>
                  <w:rPr>
                    <w:rFonts w:ascii="Arial Unicode MS" w:eastAsia="Arial Unicode MS" w:hAnsi="Arial Unicode MS" w:cs="Arial Unicode MS"/>
                    <w:color w:val="575756"/>
                    <w:sz w:val="20"/>
                    <w:szCs w:val="20"/>
                  </w:rPr>
                  <w:t>☐x</w:t>
                </w:r>
              </w:sdtContent>
            </w:sdt>
          </w:p>
        </w:tc>
        <w:tc>
          <w:tcPr>
            <w:tcW w:w="1981" w:type="dxa"/>
          </w:tcPr>
          <w:p w14:paraId="2E9CB876" w14:textId="77777777" w:rsidR="00727737"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Not Sensitive</w:t>
            </w:r>
          </w:p>
        </w:tc>
        <w:tc>
          <w:tcPr>
            <w:tcW w:w="6247" w:type="dxa"/>
          </w:tcPr>
          <w:p w14:paraId="4D5D5A1D" w14:textId="77777777" w:rsidR="00727737"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only factual or background information; contains no new or additional analysis, recommendations or policy-relevant statements</w:t>
            </w:r>
          </w:p>
        </w:tc>
      </w:tr>
      <w:tr w:rsidR="00727737" w14:paraId="5CB268CE" w14:textId="77777777">
        <w:trPr>
          <w:trHeight w:val="607"/>
        </w:trPr>
        <w:tc>
          <w:tcPr>
            <w:tcW w:w="609" w:type="dxa"/>
          </w:tcPr>
          <w:p w14:paraId="4C61B59C" w14:textId="77777777" w:rsidR="00727737" w:rsidRDefault="00000000">
            <w:pPr>
              <w:pBdr>
                <w:top w:val="nil"/>
                <w:left w:val="nil"/>
                <w:bottom w:val="nil"/>
                <w:right w:val="nil"/>
                <w:between w:val="nil"/>
              </w:pBdr>
              <w:spacing w:after="0"/>
              <w:ind w:right="0"/>
              <w:rPr>
                <w:rFonts w:eastAsia="Open Sans" w:cs="Open Sans"/>
                <w:color w:val="575756"/>
                <w:sz w:val="20"/>
                <w:szCs w:val="20"/>
              </w:rPr>
            </w:pPr>
            <w:sdt>
              <w:sdtPr>
                <w:tag w:val="goog_rdk_1"/>
                <w:id w:val="-615455684"/>
              </w:sdtPr>
              <w:sdtContent>
                <w:r>
                  <w:rPr>
                    <w:rFonts w:ascii="Arial Unicode MS" w:eastAsia="Arial Unicode MS" w:hAnsi="Arial Unicode MS" w:cs="Arial Unicode MS"/>
                    <w:color w:val="575756"/>
                    <w:sz w:val="20"/>
                    <w:szCs w:val="20"/>
                  </w:rPr>
                  <w:t>☐</w:t>
                </w:r>
              </w:sdtContent>
            </w:sdt>
          </w:p>
        </w:tc>
        <w:tc>
          <w:tcPr>
            <w:tcW w:w="1981" w:type="dxa"/>
          </w:tcPr>
          <w:p w14:paraId="5B80F54A" w14:textId="77777777" w:rsidR="00727737"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Moderately Sensitive</w:t>
            </w:r>
          </w:p>
        </w:tc>
        <w:tc>
          <w:tcPr>
            <w:tcW w:w="6247" w:type="dxa"/>
          </w:tcPr>
          <w:p w14:paraId="7D4F0CFE" w14:textId="77777777" w:rsidR="00727737"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some analysis or interpretation of results; contains no recommendations or policy-relevant statements</w:t>
            </w:r>
          </w:p>
        </w:tc>
      </w:tr>
      <w:tr w:rsidR="00727737" w14:paraId="15B35BA1" w14:textId="77777777">
        <w:trPr>
          <w:trHeight w:val="672"/>
        </w:trPr>
        <w:tc>
          <w:tcPr>
            <w:tcW w:w="609" w:type="dxa"/>
          </w:tcPr>
          <w:p w14:paraId="436B7C7B" w14:textId="77777777" w:rsidR="00727737" w:rsidRDefault="00000000">
            <w:pPr>
              <w:pBdr>
                <w:top w:val="nil"/>
                <w:left w:val="nil"/>
                <w:bottom w:val="nil"/>
                <w:right w:val="nil"/>
                <w:between w:val="nil"/>
              </w:pBdr>
              <w:spacing w:after="0"/>
              <w:ind w:right="0"/>
              <w:rPr>
                <w:rFonts w:eastAsia="Open Sans" w:cs="Open Sans"/>
                <w:color w:val="575756"/>
                <w:sz w:val="20"/>
                <w:szCs w:val="20"/>
              </w:rPr>
            </w:pPr>
            <w:sdt>
              <w:sdtPr>
                <w:tag w:val="goog_rdk_2"/>
                <w:id w:val="1217781678"/>
              </w:sdtPr>
              <w:sdtContent>
                <w:r>
                  <w:rPr>
                    <w:rFonts w:ascii="Arial Unicode MS" w:eastAsia="Arial Unicode MS" w:hAnsi="Arial Unicode MS" w:cs="Arial Unicode MS"/>
                    <w:color w:val="575756"/>
                    <w:sz w:val="20"/>
                    <w:szCs w:val="20"/>
                  </w:rPr>
                  <w:t>☐</w:t>
                </w:r>
              </w:sdtContent>
            </w:sdt>
          </w:p>
        </w:tc>
        <w:tc>
          <w:tcPr>
            <w:tcW w:w="1981" w:type="dxa"/>
          </w:tcPr>
          <w:p w14:paraId="0D9345C4" w14:textId="77777777" w:rsidR="00727737"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Sensitive</w:t>
            </w:r>
          </w:p>
        </w:tc>
        <w:tc>
          <w:tcPr>
            <w:tcW w:w="6247" w:type="dxa"/>
          </w:tcPr>
          <w:p w14:paraId="65E823D4" w14:textId="77777777" w:rsidR="00727737"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analysis or interpretation of results with policy-relevance and/or recommendations or policy-relevant statements</w:t>
            </w:r>
          </w:p>
        </w:tc>
      </w:tr>
      <w:tr w:rsidR="00727737" w14:paraId="2E894AE8" w14:textId="77777777">
        <w:trPr>
          <w:trHeight w:val="1311"/>
        </w:trPr>
        <w:tc>
          <w:tcPr>
            <w:tcW w:w="609" w:type="dxa"/>
          </w:tcPr>
          <w:p w14:paraId="1CCEDA46" w14:textId="77777777" w:rsidR="00727737" w:rsidRDefault="00000000">
            <w:pPr>
              <w:pBdr>
                <w:top w:val="nil"/>
                <w:left w:val="nil"/>
                <w:bottom w:val="nil"/>
                <w:right w:val="nil"/>
                <w:between w:val="nil"/>
              </w:pBdr>
              <w:spacing w:after="0"/>
              <w:ind w:right="0"/>
              <w:rPr>
                <w:rFonts w:eastAsia="Open Sans" w:cs="Open Sans"/>
                <w:color w:val="575756"/>
                <w:sz w:val="20"/>
                <w:szCs w:val="20"/>
              </w:rPr>
            </w:pPr>
            <w:sdt>
              <w:sdtPr>
                <w:tag w:val="goog_rdk_3"/>
                <w:id w:val="-2097553494"/>
              </w:sdtPr>
              <w:sdtContent>
                <w:r>
                  <w:rPr>
                    <w:rFonts w:ascii="Arial Unicode MS" w:eastAsia="Arial Unicode MS" w:hAnsi="Arial Unicode MS" w:cs="Arial Unicode MS"/>
                    <w:color w:val="575756"/>
                    <w:sz w:val="20"/>
                    <w:szCs w:val="20"/>
                  </w:rPr>
                  <w:t>☐</w:t>
                </w:r>
              </w:sdtContent>
            </w:sdt>
          </w:p>
        </w:tc>
        <w:tc>
          <w:tcPr>
            <w:tcW w:w="1981" w:type="dxa"/>
          </w:tcPr>
          <w:p w14:paraId="46987E67" w14:textId="77777777" w:rsidR="00727737"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Highly Sensitive</w:t>
            </w:r>
            <w:r>
              <w:rPr>
                <w:rFonts w:eastAsia="Open Sans" w:cs="Open Sans"/>
                <w:b/>
                <w:color w:val="575756"/>
                <w:sz w:val="20"/>
                <w:szCs w:val="20"/>
              </w:rPr>
              <w:br/>
              <w:t>Confidential</w:t>
            </w:r>
          </w:p>
        </w:tc>
        <w:tc>
          <w:tcPr>
            <w:tcW w:w="6247" w:type="dxa"/>
          </w:tcPr>
          <w:p w14:paraId="6336207D" w14:textId="77777777" w:rsidR="00727737"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significant analysis or interpretation of results with major policy-relevance or implications, contains extensive recommendations or policy-relevant statements, and/or contain policy-prescriptive statements.  This sensitivity requires SB decision.</w:t>
            </w:r>
          </w:p>
        </w:tc>
      </w:tr>
    </w:tbl>
    <w:p w14:paraId="241D2687" w14:textId="77777777" w:rsidR="00727737" w:rsidRDefault="00000000">
      <w:r>
        <w:br w:type="page"/>
      </w:r>
    </w:p>
    <w:p w14:paraId="0D5BD074" w14:textId="77777777" w:rsidR="00727737" w:rsidRDefault="00000000">
      <w:pPr>
        <w:pBdr>
          <w:top w:val="nil"/>
          <w:left w:val="nil"/>
          <w:bottom w:val="nil"/>
          <w:right w:val="nil"/>
          <w:between w:val="nil"/>
        </w:pBdr>
        <w:spacing w:after="240"/>
        <w:rPr>
          <w:rFonts w:cs="Open Sans"/>
          <w:b/>
          <w:smallCaps/>
          <w:color w:val="0489CE"/>
        </w:rPr>
      </w:pPr>
      <w:r>
        <w:rPr>
          <w:rFonts w:cs="Open Sans"/>
          <w:b/>
          <w:smallCaps/>
          <w:color w:val="0489CE"/>
        </w:rPr>
        <w:lastRenderedPageBreak/>
        <w:t>Table of content</w:t>
      </w:r>
    </w:p>
    <w:sdt>
      <w:sdtPr>
        <w:id w:val="-2100247818"/>
        <w:docPartObj>
          <w:docPartGallery w:val="Table of Contents"/>
          <w:docPartUnique/>
        </w:docPartObj>
      </w:sdtPr>
      <w:sdtEndPr>
        <w:rPr>
          <w:b w:val="0"/>
          <w:bCs w:val="0"/>
          <w:caps w:val="0"/>
          <w:szCs w:val="22"/>
        </w:rPr>
      </w:sdtEndPr>
      <w:sdtContent>
        <w:p w14:paraId="1AA5478B" w14:textId="677216C9" w:rsidR="000D4575" w:rsidRPr="000D4575" w:rsidRDefault="00000000">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r>
            <w:fldChar w:fldCharType="begin"/>
          </w:r>
          <w:r>
            <w:instrText xml:space="preserve"> TOC \h \u \z \t "Heading 1,1,Heading 2,2,Heading 3,3,"</w:instrText>
          </w:r>
          <w:r>
            <w:fldChar w:fldCharType="separate"/>
          </w:r>
          <w:hyperlink w:anchor="_Toc192002907" w:history="1">
            <w:r w:rsidR="000D4575" w:rsidRPr="000D4575">
              <w:rPr>
                <w:rStyle w:val="Hyperlink"/>
                <w:noProof/>
                <w:color w:val="auto"/>
              </w:rPr>
              <w:t>1.Introduction</w:t>
            </w:r>
            <w:r w:rsidR="000D4575" w:rsidRPr="000D4575">
              <w:rPr>
                <w:noProof/>
                <w:webHidden/>
                <w:color w:val="auto"/>
              </w:rPr>
              <w:tab/>
            </w:r>
            <w:r w:rsidR="000D4575" w:rsidRPr="000D4575">
              <w:rPr>
                <w:noProof/>
                <w:webHidden/>
                <w:color w:val="auto"/>
              </w:rPr>
              <w:fldChar w:fldCharType="begin"/>
            </w:r>
            <w:r w:rsidR="000D4575" w:rsidRPr="000D4575">
              <w:rPr>
                <w:noProof/>
                <w:webHidden/>
                <w:color w:val="auto"/>
              </w:rPr>
              <w:instrText xml:space="preserve"> PAGEREF _Toc192002907 \h </w:instrText>
            </w:r>
            <w:r w:rsidR="000D4575" w:rsidRPr="000D4575">
              <w:rPr>
                <w:noProof/>
                <w:webHidden/>
                <w:color w:val="auto"/>
              </w:rPr>
            </w:r>
            <w:r w:rsidR="000D4575" w:rsidRPr="000D4575">
              <w:rPr>
                <w:noProof/>
                <w:webHidden/>
                <w:color w:val="auto"/>
              </w:rPr>
              <w:fldChar w:fldCharType="separate"/>
            </w:r>
            <w:r w:rsidR="000D4575" w:rsidRPr="000D4575">
              <w:rPr>
                <w:noProof/>
                <w:webHidden/>
                <w:color w:val="auto"/>
              </w:rPr>
              <w:t>4</w:t>
            </w:r>
            <w:r w:rsidR="000D4575" w:rsidRPr="000D4575">
              <w:rPr>
                <w:noProof/>
                <w:webHidden/>
                <w:color w:val="auto"/>
              </w:rPr>
              <w:fldChar w:fldCharType="end"/>
            </w:r>
          </w:hyperlink>
        </w:p>
        <w:p w14:paraId="51B6604F" w14:textId="0A4E822E" w:rsidR="000D4575" w:rsidRPr="000D4575" w:rsidRDefault="000D4575">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hyperlink w:anchor="_Toc192002908" w:history="1">
            <w:r w:rsidRPr="000D4575">
              <w:rPr>
                <w:rStyle w:val="Hyperlink"/>
                <w:noProof/>
                <w:color w:val="auto"/>
              </w:rPr>
              <w:t>2. Legal and Regulatory Framework Overview</w:t>
            </w:r>
            <w:r w:rsidRPr="000D4575">
              <w:rPr>
                <w:noProof/>
                <w:webHidden/>
                <w:color w:val="auto"/>
              </w:rPr>
              <w:tab/>
            </w:r>
            <w:r w:rsidRPr="000D4575">
              <w:rPr>
                <w:noProof/>
                <w:webHidden/>
                <w:color w:val="auto"/>
              </w:rPr>
              <w:fldChar w:fldCharType="begin"/>
            </w:r>
            <w:r w:rsidRPr="000D4575">
              <w:rPr>
                <w:noProof/>
                <w:webHidden/>
                <w:color w:val="auto"/>
              </w:rPr>
              <w:instrText xml:space="preserve"> PAGEREF _Toc192002908 \h </w:instrText>
            </w:r>
            <w:r w:rsidRPr="000D4575">
              <w:rPr>
                <w:noProof/>
                <w:webHidden/>
                <w:color w:val="auto"/>
              </w:rPr>
            </w:r>
            <w:r w:rsidRPr="000D4575">
              <w:rPr>
                <w:noProof/>
                <w:webHidden/>
                <w:color w:val="auto"/>
              </w:rPr>
              <w:fldChar w:fldCharType="separate"/>
            </w:r>
            <w:r w:rsidRPr="000D4575">
              <w:rPr>
                <w:noProof/>
                <w:webHidden/>
                <w:color w:val="auto"/>
              </w:rPr>
              <w:t>5</w:t>
            </w:r>
            <w:r w:rsidRPr="000D4575">
              <w:rPr>
                <w:noProof/>
                <w:webHidden/>
                <w:color w:val="auto"/>
              </w:rPr>
              <w:fldChar w:fldCharType="end"/>
            </w:r>
          </w:hyperlink>
        </w:p>
        <w:p w14:paraId="5C99951C" w14:textId="30F8903F"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09" w:history="1">
            <w:r w:rsidRPr="000D4575">
              <w:rPr>
                <w:rStyle w:val="Hyperlink"/>
                <w:color w:val="auto"/>
              </w:rPr>
              <w:t>2.1.EU Renewable Energy Directives</w:t>
            </w:r>
            <w:r w:rsidRPr="000D4575">
              <w:rPr>
                <w:webHidden/>
                <w:color w:val="auto"/>
              </w:rPr>
              <w:tab/>
            </w:r>
            <w:r w:rsidRPr="000D4575">
              <w:rPr>
                <w:webHidden/>
                <w:color w:val="auto"/>
              </w:rPr>
              <w:fldChar w:fldCharType="begin"/>
            </w:r>
            <w:r w:rsidRPr="000D4575">
              <w:rPr>
                <w:webHidden/>
                <w:color w:val="auto"/>
              </w:rPr>
              <w:instrText xml:space="preserve"> PAGEREF _Toc192002909 \h </w:instrText>
            </w:r>
            <w:r w:rsidRPr="000D4575">
              <w:rPr>
                <w:webHidden/>
                <w:color w:val="auto"/>
              </w:rPr>
            </w:r>
            <w:r w:rsidRPr="000D4575">
              <w:rPr>
                <w:webHidden/>
                <w:color w:val="auto"/>
              </w:rPr>
              <w:fldChar w:fldCharType="separate"/>
            </w:r>
            <w:r w:rsidRPr="000D4575">
              <w:rPr>
                <w:webHidden/>
                <w:color w:val="auto"/>
              </w:rPr>
              <w:t>5</w:t>
            </w:r>
            <w:r w:rsidRPr="000D4575">
              <w:rPr>
                <w:webHidden/>
                <w:color w:val="auto"/>
              </w:rPr>
              <w:fldChar w:fldCharType="end"/>
            </w:r>
          </w:hyperlink>
        </w:p>
        <w:p w14:paraId="0AFA27EB" w14:textId="485C098E"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10" w:history="1">
            <w:r w:rsidRPr="000D4575">
              <w:rPr>
                <w:rStyle w:val="Hyperlink"/>
                <w:color w:val="auto"/>
              </w:rPr>
              <w:t>2.2.Data protection laws</w:t>
            </w:r>
            <w:r w:rsidRPr="000D4575">
              <w:rPr>
                <w:webHidden/>
                <w:color w:val="auto"/>
              </w:rPr>
              <w:tab/>
            </w:r>
            <w:r w:rsidRPr="000D4575">
              <w:rPr>
                <w:webHidden/>
                <w:color w:val="auto"/>
              </w:rPr>
              <w:fldChar w:fldCharType="begin"/>
            </w:r>
            <w:r w:rsidRPr="000D4575">
              <w:rPr>
                <w:webHidden/>
                <w:color w:val="auto"/>
              </w:rPr>
              <w:instrText xml:space="preserve"> PAGEREF _Toc192002910 \h </w:instrText>
            </w:r>
            <w:r w:rsidRPr="000D4575">
              <w:rPr>
                <w:webHidden/>
                <w:color w:val="auto"/>
              </w:rPr>
            </w:r>
            <w:r w:rsidRPr="000D4575">
              <w:rPr>
                <w:webHidden/>
                <w:color w:val="auto"/>
              </w:rPr>
              <w:fldChar w:fldCharType="separate"/>
            </w:r>
            <w:r w:rsidRPr="000D4575">
              <w:rPr>
                <w:webHidden/>
                <w:color w:val="auto"/>
              </w:rPr>
              <w:t>5</w:t>
            </w:r>
            <w:r w:rsidRPr="000D4575">
              <w:rPr>
                <w:webHidden/>
                <w:color w:val="auto"/>
              </w:rPr>
              <w:fldChar w:fldCharType="end"/>
            </w:r>
          </w:hyperlink>
        </w:p>
        <w:p w14:paraId="39DA268E" w14:textId="15C7DDB1"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11" w:history="1">
            <w:r w:rsidRPr="000D4575">
              <w:rPr>
                <w:rStyle w:val="Hyperlink"/>
                <w:color w:val="auto"/>
              </w:rPr>
              <w:t>2.3.Regulations on Energy Efficiency and Grid Integration</w:t>
            </w:r>
            <w:r w:rsidRPr="000D4575">
              <w:rPr>
                <w:webHidden/>
                <w:color w:val="auto"/>
              </w:rPr>
              <w:tab/>
            </w:r>
            <w:r w:rsidRPr="000D4575">
              <w:rPr>
                <w:webHidden/>
                <w:color w:val="auto"/>
              </w:rPr>
              <w:fldChar w:fldCharType="begin"/>
            </w:r>
            <w:r w:rsidRPr="000D4575">
              <w:rPr>
                <w:webHidden/>
                <w:color w:val="auto"/>
              </w:rPr>
              <w:instrText xml:space="preserve"> PAGEREF _Toc192002911 \h </w:instrText>
            </w:r>
            <w:r w:rsidRPr="000D4575">
              <w:rPr>
                <w:webHidden/>
                <w:color w:val="auto"/>
              </w:rPr>
            </w:r>
            <w:r w:rsidRPr="000D4575">
              <w:rPr>
                <w:webHidden/>
                <w:color w:val="auto"/>
              </w:rPr>
              <w:fldChar w:fldCharType="separate"/>
            </w:r>
            <w:r w:rsidRPr="000D4575">
              <w:rPr>
                <w:webHidden/>
                <w:color w:val="auto"/>
              </w:rPr>
              <w:t>6</w:t>
            </w:r>
            <w:r w:rsidRPr="000D4575">
              <w:rPr>
                <w:webHidden/>
                <w:color w:val="auto"/>
              </w:rPr>
              <w:fldChar w:fldCharType="end"/>
            </w:r>
          </w:hyperlink>
        </w:p>
        <w:p w14:paraId="0105FAAB" w14:textId="59D82A65" w:rsidR="000D4575" w:rsidRPr="000D4575" w:rsidRDefault="000D4575">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hyperlink w:anchor="_Toc192002912" w:history="1">
            <w:r w:rsidRPr="000D4575">
              <w:rPr>
                <w:rStyle w:val="Hyperlink"/>
                <w:noProof/>
                <w:color w:val="auto"/>
              </w:rPr>
              <w:t>3.Applicable Legal Requirements</w:t>
            </w:r>
            <w:r w:rsidRPr="000D4575">
              <w:rPr>
                <w:noProof/>
                <w:webHidden/>
                <w:color w:val="auto"/>
              </w:rPr>
              <w:tab/>
            </w:r>
            <w:r w:rsidRPr="000D4575">
              <w:rPr>
                <w:noProof/>
                <w:webHidden/>
                <w:color w:val="auto"/>
              </w:rPr>
              <w:fldChar w:fldCharType="begin"/>
            </w:r>
            <w:r w:rsidRPr="000D4575">
              <w:rPr>
                <w:noProof/>
                <w:webHidden/>
                <w:color w:val="auto"/>
              </w:rPr>
              <w:instrText xml:space="preserve"> PAGEREF _Toc192002912 \h </w:instrText>
            </w:r>
            <w:r w:rsidRPr="000D4575">
              <w:rPr>
                <w:noProof/>
                <w:webHidden/>
                <w:color w:val="auto"/>
              </w:rPr>
            </w:r>
            <w:r w:rsidRPr="000D4575">
              <w:rPr>
                <w:noProof/>
                <w:webHidden/>
                <w:color w:val="auto"/>
              </w:rPr>
              <w:fldChar w:fldCharType="separate"/>
            </w:r>
            <w:r w:rsidRPr="000D4575">
              <w:rPr>
                <w:noProof/>
                <w:webHidden/>
                <w:color w:val="auto"/>
              </w:rPr>
              <w:t>8</w:t>
            </w:r>
            <w:r w:rsidRPr="000D4575">
              <w:rPr>
                <w:noProof/>
                <w:webHidden/>
                <w:color w:val="auto"/>
              </w:rPr>
              <w:fldChar w:fldCharType="end"/>
            </w:r>
          </w:hyperlink>
        </w:p>
        <w:p w14:paraId="5D6E26DF" w14:textId="7DC85495"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13" w:history="1">
            <w:r w:rsidRPr="000D4575">
              <w:rPr>
                <w:rStyle w:val="Hyperlink"/>
                <w:color w:val="auto"/>
              </w:rPr>
              <w:t>3.1.Data privacy and security protocols- MQTT</w:t>
            </w:r>
            <w:r w:rsidRPr="000D4575">
              <w:rPr>
                <w:webHidden/>
                <w:color w:val="auto"/>
              </w:rPr>
              <w:tab/>
            </w:r>
            <w:r w:rsidRPr="000D4575">
              <w:rPr>
                <w:webHidden/>
                <w:color w:val="auto"/>
              </w:rPr>
              <w:fldChar w:fldCharType="begin"/>
            </w:r>
            <w:r w:rsidRPr="000D4575">
              <w:rPr>
                <w:webHidden/>
                <w:color w:val="auto"/>
              </w:rPr>
              <w:instrText xml:space="preserve"> PAGEREF _Toc192002913 \h </w:instrText>
            </w:r>
            <w:r w:rsidRPr="000D4575">
              <w:rPr>
                <w:webHidden/>
                <w:color w:val="auto"/>
              </w:rPr>
            </w:r>
            <w:r w:rsidRPr="000D4575">
              <w:rPr>
                <w:webHidden/>
                <w:color w:val="auto"/>
              </w:rPr>
              <w:fldChar w:fldCharType="separate"/>
            </w:r>
            <w:r w:rsidRPr="000D4575">
              <w:rPr>
                <w:webHidden/>
                <w:color w:val="auto"/>
              </w:rPr>
              <w:t>8</w:t>
            </w:r>
            <w:r w:rsidRPr="000D4575">
              <w:rPr>
                <w:webHidden/>
                <w:color w:val="auto"/>
              </w:rPr>
              <w:fldChar w:fldCharType="end"/>
            </w:r>
          </w:hyperlink>
        </w:p>
        <w:p w14:paraId="65D60E0E" w14:textId="16B0BE0B"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14" w:history="1">
            <w:r w:rsidRPr="000D4575">
              <w:rPr>
                <w:rStyle w:val="Hyperlink"/>
                <w:color w:val="auto"/>
              </w:rPr>
              <w:t>3.2. Health and safety standards in solar panel maintenance and installation</w:t>
            </w:r>
            <w:r w:rsidRPr="000D4575">
              <w:rPr>
                <w:webHidden/>
                <w:color w:val="auto"/>
              </w:rPr>
              <w:tab/>
            </w:r>
            <w:r w:rsidRPr="000D4575">
              <w:rPr>
                <w:webHidden/>
                <w:color w:val="auto"/>
              </w:rPr>
              <w:fldChar w:fldCharType="begin"/>
            </w:r>
            <w:r w:rsidRPr="000D4575">
              <w:rPr>
                <w:webHidden/>
                <w:color w:val="auto"/>
              </w:rPr>
              <w:instrText xml:space="preserve"> PAGEREF _Toc192002914 \h </w:instrText>
            </w:r>
            <w:r w:rsidRPr="000D4575">
              <w:rPr>
                <w:webHidden/>
                <w:color w:val="auto"/>
              </w:rPr>
            </w:r>
            <w:r w:rsidRPr="000D4575">
              <w:rPr>
                <w:webHidden/>
                <w:color w:val="auto"/>
              </w:rPr>
              <w:fldChar w:fldCharType="separate"/>
            </w:r>
            <w:r w:rsidRPr="000D4575">
              <w:rPr>
                <w:webHidden/>
                <w:color w:val="auto"/>
              </w:rPr>
              <w:t>8</w:t>
            </w:r>
            <w:r w:rsidRPr="000D4575">
              <w:rPr>
                <w:webHidden/>
                <w:color w:val="auto"/>
              </w:rPr>
              <w:fldChar w:fldCharType="end"/>
            </w:r>
          </w:hyperlink>
        </w:p>
        <w:p w14:paraId="5FE61A9B" w14:textId="67BDE190"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15" w:history="1">
            <w:r w:rsidRPr="000D4575">
              <w:rPr>
                <w:rStyle w:val="Hyperlink"/>
                <w:color w:val="auto"/>
              </w:rPr>
              <w:t>3.3.Regulations concerning the deployment of AI and IoT systems in energy</w:t>
            </w:r>
            <w:r>
              <w:rPr>
                <w:rStyle w:val="Hyperlink"/>
                <w:color w:val="auto"/>
              </w:rPr>
              <w:t xml:space="preserve"> </w:t>
            </w:r>
            <w:r w:rsidRPr="000D4575">
              <w:rPr>
                <w:rStyle w:val="Hyperlink"/>
                <w:color w:val="auto"/>
              </w:rPr>
              <w:t>sectors</w:t>
            </w:r>
            <w:r w:rsidRPr="000D4575">
              <w:rPr>
                <w:webHidden/>
                <w:color w:val="auto"/>
              </w:rPr>
              <w:tab/>
            </w:r>
            <w:r w:rsidRPr="000D4575">
              <w:rPr>
                <w:webHidden/>
                <w:color w:val="auto"/>
              </w:rPr>
              <w:fldChar w:fldCharType="begin"/>
            </w:r>
            <w:r w:rsidRPr="000D4575">
              <w:rPr>
                <w:webHidden/>
                <w:color w:val="auto"/>
              </w:rPr>
              <w:instrText xml:space="preserve"> PAGEREF _Toc192002915 \h </w:instrText>
            </w:r>
            <w:r w:rsidRPr="000D4575">
              <w:rPr>
                <w:webHidden/>
                <w:color w:val="auto"/>
              </w:rPr>
            </w:r>
            <w:r w:rsidRPr="000D4575">
              <w:rPr>
                <w:webHidden/>
                <w:color w:val="auto"/>
              </w:rPr>
              <w:fldChar w:fldCharType="separate"/>
            </w:r>
            <w:r w:rsidRPr="000D4575">
              <w:rPr>
                <w:webHidden/>
                <w:color w:val="auto"/>
              </w:rPr>
              <w:t>9</w:t>
            </w:r>
            <w:r w:rsidRPr="000D4575">
              <w:rPr>
                <w:webHidden/>
                <w:color w:val="auto"/>
              </w:rPr>
              <w:fldChar w:fldCharType="end"/>
            </w:r>
          </w:hyperlink>
        </w:p>
        <w:p w14:paraId="19979F40" w14:textId="0BD61172"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16" w:history="1">
            <w:r w:rsidRPr="000D4575">
              <w:rPr>
                <w:rStyle w:val="Hyperlink"/>
                <w:color w:val="auto"/>
              </w:rPr>
              <w:t>3.4.Compliance with environmental laws that govern solar farm operations and</w:t>
            </w:r>
            <w:r>
              <w:rPr>
                <w:rStyle w:val="Hyperlink"/>
                <w:color w:val="auto"/>
              </w:rPr>
              <w:t xml:space="preserve"> </w:t>
            </w:r>
            <w:r w:rsidRPr="000D4575">
              <w:rPr>
                <w:rStyle w:val="Hyperlink"/>
                <w:color w:val="auto"/>
              </w:rPr>
              <w:t>energy production</w:t>
            </w:r>
            <w:r w:rsidRPr="000D4575">
              <w:rPr>
                <w:webHidden/>
                <w:color w:val="auto"/>
              </w:rPr>
              <w:tab/>
            </w:r>
            <w:r w:rsidRPr="000D4575">
              <w:rPr>
                <w:webHidden/>
                <w:color w:val="auto"/>
              </w:rPr>
              <w:fldChar w:fldCharType="begin"/>
            </w:r>
            <w:r w:rsidRPr="000D4575">
              <w:rPr>
                <w:webHidden/>
                <w:color w:val="auto"/>
              </w:rPr>
              <w:instrText xml:space="preserve"> PAGEREF _Toc192002916 \h </w:instrText>
            </w:r>
            <w:r w:rsidRPr="000D4575">
              <w:rPr>
                <w:webHidden/>
                <w:color w:val="auto"/>
              </w:rPr>
            </w:r>
            <w:r w:rsidRPr="000D4575">
              <w:rPr>
                <w:webHidden/>
                <w:color w:val="auto"/>
              </w:rPr>
              <w:fldChar w:fldCharType="separate"/>
            </w:r>
            <w:r w:rsidRPr="000D4575">
              <w:rPr>
                <w:webHidden/>
                <w:color w:val="auto"/>
              </w:rPr>
              <w:t>11</w:t>
            </w:r>
            <w:r w:rsidRPr="000D4575">
              <w:rPr>
                <w:webHidden/>
                <w:color w:val="auto"/>
              </w:rPr>
              <w:fldChar w:fldCharType="end"/>
            </w:r>
          </w:hyperlink>
        </w:p>
        <w:p w14:paraId="68C52626" w14:textId="0264BB0B" w:rsidR="000D4575" w:rsidRPr="000D4575" w:rsidRDefault="000D4575">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hyperlink w:anchor="_Toc192002917" w:history="1">
            <w:r w:rsidRPr="000D4575">
              <w:rPr>
                <w:rStyle w:val="Hyperlink"/>
                <w:noProof/>
                <w:color w:val="auto"/>
              </w:rPr>
              <w:t>4.Regulatory Landscape for Pilot Sites</w:t>
            </w:r>
            <w:r w:rsidRPr="000D4575">
              <w:rPr>
                <w:noProof/>
                <w:webHidden/>
                <w:color w:val="auto"/>
              </w:rPr>
              <w:tab/>
            </w:r>
            <w:r w:rsidRPr="000D4575">
              <w:rPr>
                <w:noProof/>
                <w:webHidden/>
                <w:color w:val="auto"/>
              </w:rPr>
              <w:fldChar w:fldCharType="begin"/>
            </w:r>
            <w:r w:rsidRPr="000D4575">
              <w:rPr>
                <w:noProof/>
                <w:webHidden/>
                <w:color w:val="auto"/>
              </w:rPr>
              <w:instrText xml:space="preserve"> PAGEREF _Toc192002917 \h </w:instrText>
            </w:r>
            <w:r w:rsidRPr="000D4575">
              <w:rPr>
                <w:noProof/>
                <w:webHidden/>
                <w:color w:val="auto"/>
              </w:rPr>
            </w:r>
            <w:r w:rsidRPr="000D4575">
              <w:rPr>
                <w:noProof/>
                <w:webHidden/>
                <w:color w:val="auto"/>
              </w:rPr>
              <w:fldChar w:fldCharType="separate"/>
            </w:r>
            <w:r w:rsidRPr="000D4575">
              <w:rPr>
                <w:noProof/>
                <w:webHidden/>
                <w:color w:val="auto"/>
              </w:rPr>
              <w:t>11</w:t>
            </w:r>
            <w:r w:rsidRPr="000D4575">
              <w:rPr>
                <w:noProof/>
                <w:webHidden/>
                <w:color w:val="auto"/>
              </w:rPr>
              <w:fldChar w:fldCharType="end"/>
            </w:r>
          </w:hyperlink>
        </w:p>
        <w:p w14:paraId="6E558014" w14:textId="7C4A0533" w:rsidR="000D4575" w:rsidRPr="000D4575" w:rsidRDefault="000D4575">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hyperlink w:anchor="_Toc192002918" w:history="1">
            <w:r w:rsidRPr="000D4575">
              <w:rPr>
                <w:rStyle w:val="Hyperlink"/>
                <w:noProof/>
                <w:color w:val="auto"/>
              </w:rPr>
              <w:t>5.Challenges and Risks</w:t>
            </w:r>
            <w:r w:rsidRPr="000D4575">
              <w:rPr>
                <w:noProof/>
                <w:webHidden/>
                <w:color w:val="auto"/>
              </w:rPr>
              <w:tab/>
            </w:r>
            <w:r w:rsidRPr="000D4575">
              <w:rPr>
                <w:noProof/>
                <w:webHidden/>
                <w:color w:val="auto"/>
              </w:rPr>
              <w:fldChar w:fldCharType="begin"/>
            </w:r>
            <w:r w:rsidRPr="000D4575">
              <w:rPr>
                <w:noProof/>
                <w:webHidden/>
                <w:color w:val="auto"/>
              </w:rPr>
              <w:instrText xml:space="preserve"> PAGEREF _Toc192002918 \h </w:instrText>
            </w:r>
            <w:r w:rsidRPr="000D4575">
              <w:rPr>
                <w:noProof/>
                <w:webHidden/>
                <w:color w:val="auto"/>
              </w:rPr>
            </w:r>
            <w:r w:rsidRPr="000D4575">
              <w:rPr>
                <w:noProof/>
                <w:webHidden/>
                <w:color w:val="auto"/>
              </w:rPr>
              <w:fldChar w:fldCharType="separate"/>
            </w:r>
            <w:r w:rsidRPr="000D4575">
              <w:rPr>
                <w:noProof/>
                <w:webHidden/>
                <w:color w:val="auto"/>
              </w:rPr>
              <w:t>14</w:t>
            </w:r>
            <w:r w:rsidRPr="000D4575">
              <w:rPr>
                <w:noProof/>
                <w:webHidden/>
                <w:color w:val="auto"/>
              </w:rPr>
              <w:fldChar w:fldCharType="end"/>
            </w:r>
          </w:hyperlink>
        </w:p>
        <w:p w14:paraId="611F7E44" w14:textId="1C01DBF8"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19" w:history="1">
            <w:r w:rsidRPr="000D4575">
              <w:rPr>
                <w:rStyle w:val="Hyperlink"/>
                <w:color w:val="auto"/>
              </w:rPr>
              <w:t>5.1.Legal and Regulatory Compliance</w:t>
            </w:r>
            <w:r w:rsidRPr="000D4575">
              <w:rPr>
                <w:webHidden/>
                <w:color w:val="auto"/>
              </w:rPr>
              <w:tab/>
            </w:r>
            <w:r w:rsidRPr="000D4575">
              <w:rPr>
                <w:webHidden/>
                <w:color w:val="auto"/>
              </w:rPr>
              <w:fldChar w:fldCharType="begin"/>
            </w:r>
            <w:r w:rsidRPr="000D4575">
              <w:rPr>
                <w:webHidden/>
                <w:color w:val="auto"/>
              </w:rPr>
              <w:instrText xml:space="preserve"> PAGEREF _Toc192002919 \h </w:instrText>
            </w:r>
            <w:r w:rsidRPr="000D4575">
              <w:rPr>
                <w:webHidden/>
                <w:color w:val="auto"/>
              </w:rPr>
            </w:r>
            <w:r w:rsidRPr="000D4575">
              <w:rPr>
                <w:webHidden/>
                <w:color w:val="auto"/>
              </w:rPr>
              <w:fldChar w:fldCharType="separate"/>
            </w:r>
            <w:r w:rsidRPr="000D4575">
              <w:rPr>
                <w:webHidden/>
                <w:color w:val="auto"/>
              </w:rPr>
              <w:t>14</w:t>
            </w:r>
            <w:r w:rsidRPr="000D4575">
              <w:rPr>
                <w:webHidden/>
                <w:color w:val="auto"/>
              </w:rPr>
              <w:fldChar w:fldCharType="end"/>
            </w:r>
          </w:hyperlink>
        </w:p>
        <w:p w14:paraId="103BF26A" w14:textId="72F05D94"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0" w:history="1">
            <w:r w:rsidRPr="000D4575">
              <w:rPr>
                <w:rStyle w:val="Hyperlink"/>
                <w:color w:val="auto"/>
              </w:rPr>
              <w:t>5.2 Data Privacy and Security</w:t>
            </w:r>
            <w:r w:rsidRPr="000D4575">
              <w:rPr>
                <w:webHidden/>
                <w:color w:val="auto"/>
              </w:rPr>
              <w:tab/>
            </w:r>
            <w:r w:rsidRPr="000D4575">
              <w:rPr>
                <w:webHidden/>
                <w:color w:val="auto"/>
              </w:rPr>
              <w:fldChar w:fldCharType="begin"/>
            </w:r>
            <w:r w:rsidRPr="000D4575">
              <w:rPr>
                <w:webHidden/>
                <w:color w:val="auto"/>
              </w:rPr>
              <w:instrText xml:space="preserve"> PAGEREF _Toc192002920 \h </w:instrText>
            </w:r>
            <w:r w:rsidRPr="000D4575">
              <w:rPr>
                <w:webHidden/>
                <w:color w:val="auto"/>
              </w:rPr>
            </w:r>
            <w:r w:rsidRPr="000D4575">
              <w:rPr>
                <w:webHidden/>
                <w:color w:val="auto"/>
              </w:rPr>
              <w:fldChar w:fldCharType="separate"/>
            </w:r>
            <w:r w:rsidRPr="000D4575">
              <w:rPr>
                <w:webHidden/>
                <w:color w:val="auto"/>
              </w:rPr>
              <w:t>15</w:t>
            </w:r>
            <w:r w:rsidRPr="000D4575">
              <w:rPr>
                <w:webHidden/>
                <w:color w:val="auto"/>
              </w:rPr>
              <w:fldChar w:fldCharType="end"/>
            </w:r>
          </w:hyperlink>
        </w:p>
        <w:p w14:paraId="66CF7BB6" w14:textId="6E3C00D9"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1" w:history="1">
            <w:r w:rsidRPr="000D4575">
              <w:rPr>
                <w:rStyle w:val="Hyperlink"/>
                <w:color w:val="auto"/>
              </w:rPr>
              <w:t>5.3 Health and Safety</w:t>
            </w:r>
            <w:r w:rsidRPr="000D4575">
              <w:rPr>
                <w:webHidden/>
                <w:color w:val="auto"/>
              </w:rPr>
              <w:tab/>
            </w:r>
            <w:r w:rsidRPr="000D4575">
              <w:rPr>
                <w:webHidden/>
                <w:color w:val="auto"/>
              </w:rPr>
              <w:fldChar w:fldCharType="begin"/>
            </w:r>
            <w:r w:rsidRPr="000D4575">
              <w:rPr>
                <w:webHidden/>
                <w:color w:val="auto"/>
              </w:rPr>
              <w:instrText xml:space="preserve"> PAGEREF _Toc192002921 \h </w:instrText>
            </w:r>
            <w:r w:rsidRPr="000D4575">
              <w:rPr>
                <w:webHidden/>
                <w:color w:val="auto"/>
              </w:rPr>
            </w:r>
            <w:r w:rsidRPr="000D4575">
              <w:rPr>
                <w:webHidden/>
                <w:color w:val="auto"/>
              </w:rPr>
              <w:fldChar w:fldCharType="separate"/>
            </w:r>
            <w:r w:rsidRPr="000D4575">
              <w:rPr>
                <w:webHidden/>
                <w:color w:val="auto"/>
              </w:rPr>
              <w:t>15</w:t>
            </w:r>
            <w:r w:rsidRPr="000D4575">
              <w:rPr>
                <w:webHidden/>
                <w:color w:val="auto"/>
              </w:rPr>
              <w:fldChar w:fldCharType="end"/>
            </w:r>
          </w:hyperlink>
        </w:p>
        <w:p w14:paraId="40C9DF97" w14:textId="0B053916"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2" w:history="1">
            <w:r w:rsidRPr="000D4575">
              <w:rPr>
                <w:rStyle w:val="Hyperlink"/>
                <w:color w:val="auto"/>
              </w:rPr>
              <w:t>5.4 Technological and Integration Risks</w:t>
            </w:r>
            <w:r w:rsidRPr="000D4575">
              <w:rPr>
                <w:webHidden/>
                <w:color w:val="auto"/>
              </w:rPr>
              <w:tab/>
            </w:r>
            <w:r w:rsidRPr="000D4575">
              <w:rPr>
                <w:webHidden/>
                <w:color w:val="auto"/>
              </w:rPr>
              <w:fldChar w:fldCharType="begin"/>
            </w:r>
            <w:r w:rsidRPr="000D4575">
              <w:rPr>
                <w:webHidden/>
                <w:color w:val="auto"/>
              </w:rPr>
              <w:instrText xml:space="preserve"> PAGEREF _Toc192002922 \h </w:instrText>
            </w:r>
            <w:r w:rsidRPr="000D4575">
              <w:rPr>
                <w:webHidden/>
                <w:color w:val="auto"/>
              </w:rPr>
            </w:r>
            <w:r w:rsidRPr="000D4575">
              <w:rPr>
                <w:webHidden/>
                <w:color w:val="auto"/>
              </w:rPr>
              <w:fldChar w:fldCharType="separate"/>
            </w:r>
            <w:r w:rsidRPr="000D4575">
              <w:rPr>
                <w:webHidden/>
                <w:color w:val="auto"/>
              </w:rPr>
              <w:t>15</w:t>
            </w:r>
            <w:r w:rsidRPr="000D4575">
              <w:rPr>
                <w:webHidden/>
                <w:color w:val="auto"/>
              </w:rPr>
              <w:fldChar w:fldCharType="end"/>
            </w:r>
          </w:hyperlink>
        </w:p>
        <w:p w14:paraId="1B9381F8" w14:textId="518ED276"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3" w:history="1">
            <w:r w:rsidRPr="000D4575">
              <w:rPr>
                <w:rStyle w:val="Hyperlink"/>
                <w:color w:val="auto"/>
              </w:rPr>
              <w:t>5.5 Environmental and Operational Risks</w:t>
            </w:r>
            <w:r w:rsidRPr="000D4575">
              <w:rPr>
                <w:webHidden/>
                <w:color w:val="auto"/>
              </w:rPr>
              <w:tab/>
            </w:r>
            <w:r w:rsidRPr="000D4575">
              <w:rPr>
                <w:webHidden/>
                <w:color w:val="auto"/>
              </w:rPr>
              <w:fldChar w:fldCharType="begin"/>
            </w:r>
            <w:r w:rsidRPr="000D4575">
              <w:rPr>
                <w:webHidden/>
                <w:color w:val="auto"/>
              </w:rPr>
              <w:instrText xml:space="preserve"> PAGEREF _Toc192002923 \h </w:instrText>
            </w:r>
            <w:r w:rsidRPr="000D4575">
              <w:rPr>
                <w:webHidden/>
                <w:color w:val="auto"/>
              </w:rPr>
            </w:r>
            <w:r w:rsidRPr="000D4575">
              <w:rPr>
                <w:webHidden/>
                <w:color w:val="auto"/>
              </w:rPr>
              <w:fldChar w:fldCharType="separate"/>
            </w:r>
            <w:r w:rsidRPr="000D4575">
              <w:rPr>
                <w:webHidden/>
                <w:color w:val="auto"/>
              </w:rPr>
              <w:t>15</w:t>
            </w:r>
            <w:r w:rsidRPr="000D4575">
              <w:rPr>
                <w:webHidden/>
                <w:color w:val="auto"/>
              </w:rPr>
              <w:fldChar w:fldCharType="end"/>
            </w:r>
          </w:hyperlink>
        </w:p>
        <w:p w14:paraId="04EDBFF8" w14:textId="4B9EF9E7"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4" w:history="1">
            <w:r w:rsidRPr="000D4575">
              <w:rPr>
                <w:rStyle w:val="Hyperlink"/>
                <w:color w:val="auto"/>
              </w:rPr>
              <w:t>5.6 Stakeholder and Public Acceptance</w:t>
            </w:r>
            <w:r w:rsidRPr="000D4575">
              <w:rPr>
                <w:webHidden/>
                <w:color w:val="auto"/>
              </w:rPr>
              <w:tab/>
            </w:r>
            <w:r w:rsidRPr="000D4575">
              <w:rPr>
                <w:webHidden/>
                <w:color w:val="auto"/>
              </w:rPr>
              <w:fldChar w:fldCharType="begin"/>
            </w:r>
            <w:r w:rsidRPr="000D4575">
              <w:rPr>
                <w:webHidden/>
                <w:color w:val="auto"/>
              </w:rPr>
              <w:instrText xml:space="preserve"> PAGEREF _Toc192002924 \h </w:instrText>
            </w:r>
            <w:r w:rsidRPr="000D4575">
              <w:rPr>
                <w:webHidden/>
                <w:color w:val="auto"/>
              </w:rPr>
            </w:r>
            <w:r w:rsidRPr="000D4575">
              <w:rPr>
                <w:webHidden/>
                <w:color w:val="auto"/>
              </w:rPr>
              <w:fldChar w:fldCharType="separate"/>
            </w:r>
            <w:r w:rsidRPr="000D4575">
              <w:rPr>
                <w:webHidden/>
                <w:color w:val="auto"/>
              </w:rPr>
              <w:t>15</w:t>
            </w:r>
            <w:r w:rsidRPr="000D4575">
              <w:rPr>
                <w:webHidden/>
                <w:color w:val="auto"/>
              </w:rPr>
              <w:fldChar w:fldCharType="end"/>
            </w:r>
          </w:hyperlink>
        </w:p>
        <w:p w14:paraId="2FEA3B67" w14:textId="17537920"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5" w:history="1">
            <w:r w:rsidRPr="000D4575">
              <w:rPr>
                <w:rStyle w:val="Hyperlink"/>
                <w:color w:val="auto"/>
              </w:rPr>
              <w:t>5.7 Economic and Market Risks</w:t>
            </w:r>
            <w:r w:rsidRPr="000D4575">
              <w:rPr>
                <w:webHidden/>
                <w:color w:val="auto"/>
              </w:rPr>
              <w:tab/>
            </w:r>
            <w:r w:rsidRPr="000D4575">
              <w:rPr>
                <w:webHidden/>
                <w:color w:val="auto"/>
              </w:rPr>
              <w:fldChar w:fldCharType="begin"/>
            </w:r>
            <w:r w:rsidRPr="000D4575">
              <w:rPr>
                <w:webHidden/>
                <w:color w:val="auto"/>
              </w:rPr>
              <w:instrText xml:space="preserve"> PAGEREF _Toc192002925 \h </w:instrText>
            </w:r>
            <w:r w:rsidRPr="000D4575">
              <w:rPr>
                <w:webHidden/>
                <w:color w:val="auto"/>
              </w:rPr>
            </w:r>
            <w:r w:rsidRPr="000D4575">
              <w:rPr>
                <w:webHidden/>
                <w:color w:val="auto"/>
              </w:rPr>
              <w:fldChar w:fldCharType="separate"/>
            </w:r>
            <w:r w:rsidRPr="000D4575">
              <w:rPr>
                <w:webHidden/>
                <w:color w:val="auto"/>
              </w:rPr>
              <w:t>15</w:t>
            </w:r>
            <w:r w:rsidRPr="000D4575">
              <w:rPr>
                <w:webHidden/>
                <w:color w:val="auto"/>
              </w:rPr>
              <w:fldChar w:fldCharType="end"/>
            </w:r>
          </w:hyperlink>
        </w:p>
        <w:p w14:paraId="47F59BA2" w14:textId="08AB0802" w:rsidR="000D4575" w:rsidRPr="000D4575" w:rsidRDefault="000D4575">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hyperlink w:anchor="_Toc192002926" w:history="1">
            <w:r w:rsidRPr="000D4575">
              <w:rPr>
                <w:rStyle w:val="Hyperlink"/>
                <w:noProof/>
                <w:color w:val="auto"/>
              </w:rPr>
              <w:t>6.Recommendations</w:t>
            </w:r>
            <w:r w:rsidRPr="000D4575">
              <w:rPr>
                <w:noProof/>
                <w:webHidden/>
                <w:color w:val="auto"/>
              </w:rPr>
              <w:tab/>
            </w:r>
            <w:r w:rsidRPr="000D4575">
              <w:rPr>
                <w:noProof/>
                <w:webHidden/>
                <w:color w:val="auto"/>
              </w:rPr>
              <w:fldChar w:fldCharType="begin"/>
            </w:r>
            <w:r w:rsidRPr="000D4575">
              <w:rPr>
                <w:noProof/>
                <w:webHidden/>
                <w:color w:val="auto"/>
              </w:rPr>
              <w:instrText xml:space="preserve"> PAGEREF _Toc192002926 \h </w:instrText>
            </w:r>
            <w:r w:rsidRPr="000D4575">
              <w:rPr>
                <w:noProof/>
                <w:webHidden/>
                <w:color w:val="auto"/>
              </w:rPr>
            </w:r>
            <w:r w:rsidRPr="000D4575">
              <w:rPr>
                <w:noProof/>
                <w:webHidden/>
                <w:color w:val="auto"/>
              </w:rPr>
              <w:fldChar w:fldCharType="separate"/>
            </w:r>
            <w:r w:rsidRPr="000D4575">
              <w:rPr>
                <w:noProof/>
                <w:webHidden/>
                <w:color w:val="auto"/>
              </w:rPr>
              <w:t>16</w:t>
            </w:r>
            <w:r w:rsidRPr="000D4575">
              <w:rPr>
                <w:noProof/>
                <w:webHidden/>
                <w:color w:val="auto"/>
              </w:rPr>
              <w:fldChar w:fldCharType="end"/>
            </w:r>
          </w:hyperlink>
        </w:p>
        <w:p w14:paraId="34607F0D" w14:textId="7BCAEF1D"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7" w:history="1">
            <w:r w:rsidRPr="000D4575">
              <w:rPr>
                <w:rStyle w:val="Hyperlink"/>
                <w:color w:val="auto"/>
              </w:rPr>
              <w:t>6.1 Integrate Continuous Legal Review Processes</w:t>
            </w:r>
            <w:r w:rsidRPr="000D4575">
              <w:rPr>
                <w:webHidden/>
                <w:color w:val="auto"/>
              </w:rPr>
              <w:tab/>
            </w:r>
            <w:r w:rsidRPr="000D4575">
              <w:rPr>
                <w:webHidden/>
                <w:color w:val="auto"/>
              </w:rPr>
              <w:fldChar w:fldCharType="begin"/>
            </w:r>
            <w:r w:rsidRPr="000D4575">
              <w:rPr>
                <w:webHidden/>
                <w:color w:val="auto"/>
              </w:rPr>
              <w:instrText xml:space="preserve"> PAGEREF _Toc192002927 \h </w:instrText>
            </w:r>
            <w:r w:rsidRPr="000D4575">
              <w:rPr>
                <w:webHidden/>
                <w:color w:val="auto"/>
              </w:rPr>
            </w:r>
            <w:r w:rsidRPr="000D4575">
              <w:rPr>
                <w:webHidden/>
                <w:color w:val="auto"/>
              </w:rPr>
              <w:fldChar w:fldCharType="separate"/>
            </w:r>
            <w:r w:rsidRPr="000D4575">
              <w:rPr>
                <w:webHidden/>
                <w:color w:val="auto"/>
              </w:rPr>
              <w:t>16</w:t>
            </w:r>
            <w:r w:rsidRPr="000D4575">
              <w:rPr>
                <w:webHidden/>
                <w:color w:val="auto"/>
              </w:rPr>
              <w:fldChar w:fldCharType="end"/>
            </w:r>
          </w:hyperlink>
        </w:p>
        <w:p w14:paraId="74F6F075" w14:textId="62C72335"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8" w:history="1">
            <w:r w:rsidRPr="000D4575">
              <w:rPr>
                <w:rStyle w:val="Hyperlink"/>
                <w:color w:val="auto"/>
              </w:rPr>
              <w:t>6.2 Engage Legal Experts and Consultants</w:t>
            </w:r>
            <w:r w:rsidRPr="000D4575">
              <w:rPr>
                <w:webHidden/>
                <w:color w:val="auto"/>
              </w:rPr>
              <w:tab/>
            </w:r>
            <w:r w:rsidRPr="000D4575">
              <w:rPr>
                <w:webHidden/>
                <w:color w:val="auto"/>
              </w:rPr>
              <w:fldChar w:fldCharType="begin"/>
            </w:r>
            <w:r w:rsidRPr="000D4575">
              <w:rPr>
                <w:webHidden/>
                <w:color w:val="auto"/>
              </w:rPr>
              <w:instrText xml:space="preserve"> PAGEREF _Toc192002928 \h </w:instrText>
            </w:r>
            <w:r w:rsidRPr="000D4575">
              <w:rPr>
                <w:webHidden/>
                <w:color w:val="auto"/>
              </w:rPr>
            </w:r>
            <w:r w:rsidRPr="000D4575">
              <w:rPr>
                <w:webHidden/>
                <w:color w:val="auto"/>
              </w:rPr>
              <w:fldChar w:fldCharType="separate"/>
            </w:r>
            <w:r w:rsidRPr="000D4575">
              <w:rPr>
                <w:webHidden/>
                <w:color w:val="auto"/>
              </w:rPr>
              <w:t>16</w:t>
            </w:r>
            <w:r w:rsidRPr="000D4575">
              <w:rPr>
                <w:webHidden/>
                <w:color w:val="auto"/>
              </w:rPr>
              <w:fldChar w:fldCharType="end"/>
            </w:r>
          </w:hyperlink>
        </w:p>
        <w:p w14:paraId="4073B76F" w14:textId="0330F302"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29" w:history="1">
            <w:r w:rsidRPr="000D4575">
              <w:rPr>
                <w:rStyle w:val="Hyperlink"/>
                <w:color w:val="auto"/>
              </w:rPr>
              <w:t>6.3 Stay Informed on Regulatory Changes</w:t>
            </w:r>
            <w:r w:rsidRPr="000D4575">
              <w:rPr>
                <w:webHidden/>
                <w:color w:val="auto"/>
              </w:rPr>
              <w:tab/>
            </w:r>
            <w:r w:rsidRPr="000D4575">
              <w:rPr>
                <w:webHidden/>
                <w:color w:val="auto"/>
              </w:rPr>
              <w:fldChar w:fldCharType="begin"/>
            </w:r>
            <w:r w:rsidRPr="000D4575">
              <w:rPr>
                <w:webHidden/>
                <w:color w:val="auto"/>
              </w:rPr>
              <w:instrText xml:space="preserve"> PAGEREF _Toc192002929 \h </w:instrText>
            </w:r>
            <w:r w:rsidRPr="000D4575">
              <w:rPr>
                <w:webHidden/>
                <w:color w:val="auto"/>
              </w:rPr>
            </w:r>
            <w:r w:rsidRPr="000D4575">
              <w:rPr>
                <w:webHidden/>
                <w:color w:val="auto"/>
              </w:rPr>
              <w:fldChar w:fldCharType="separate"/>
            </w:r>
            <w:r w:rsidRPr="000D4575">
              <w:rPr>
                <w:webHidden/>
                <w:color w:val="auto"/>
              </w:rPr>
              <w:t>16</w:t>
            </w:r>
            <w:r w:rsidRPr="000D4575">
              <w:rPr>
                <w:webHidden/>
                <w:color w:val="auto"/>
              </w:rPr>
              <w:fldChar w:fldCharType="end"/>
            </w:r>
          </w:hyperlink>
        </w:p>
        <w:p w14:paraId="3250EBC6" w14:textId="2F19B90D"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30" w:history="1">
            <w:r w:rsidRPr="000D4575">
              <w:rPr>
                <w:rStyle w:val="Hyperlink"/>
                <w:color w:val="auto"/>
              </w:rPr>
              <w:t>6.4 Develop a Compliance Management Framework</w:t>
            </w:r>
            <w:r w:rsidRPr="000D4575">
              <w:rPr>
                <w:webHidden/>
                <w:color w:val="auto"/>
              </w:rPr>
              <w:tab/>
            </w:r>
            <w:r w:rsidRPr="000D4575">
              <w:rPr>
                <w:webHidden/>
                <w:color w:val="auto"/>
              </w:rPr>
              <w:fldChar w:fldCharType="begin"/>
            </w:r>
            <w:r w:rsidRPr="000D4575">
              <w:rPr>
                <w:webHidden/>
                <w:color w:val="auto"/>
              </w:rPr>
              <w:instrText xml:space="preserve"> PAGEREF _Toc192002930 \h </w:instrText>
            </w:r>
            <w:r w:rsidRPr="000D4575">
              <w:rPr>
                <w:webHidden/>
                <w:color w:val="auto"/>
              </w:rPr>
            </w:r>
            <w:r w:rsidRPr="000D4575">
              <w:rPr>
                <w:webHidden/>
                <w:color w:val="auto"/>
              </w:rPr>
              <w:fldChar w:fldCharType="separate"/>
            </w:r>
            <w:r w:rsidRPr="000D4575">
              <w:rPr>
                <w:webHidden/>
                <w:color w:val="auto"/>
              </w:rPr>
              <w:t>16</w:t>
            </w:r>
            <w:r w:rsidRPr="000D4575">
              <w:rPr>
                <w:webHidden/>
                <w:color w:val="auto"/>
              </w:rPr>
              <w:fldChar w:fldCharType="end"/>
            </w:r>
          </w:hyperlink>
        </w:p>
        <w:p w14:paraId="6571EB96" w14:textId="0C270A39"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31" w:history="1">
            <w:r w:rsidRPr="000D4575">
              <w:rPr>
                <w:rStyle w:val="Hyperlink"/>
                <w:color w:val="auto"/>
              </w:rPr>
              <w:t>6.5 Engage with Regulatory Authorities Early</w:t>
            </w:r>
            <w:r w:rsidRPr="000D4575">
              <w:rPr>
                <w:webHidden/>
                <w:color w:val="auto"/>
              </w:rPr>
              <w:tab/>
            </w:r>
            <w:r w:rsidRPr="000D4575">
              <w:rPr>
                <w:webHidden/>
                <w:color w:val="auto"/>
              </w:rPr>
              <w:fldChar w:fldCharType="begin"/>
            </w:r>
            <w:r w:rsidRPr="000D4575">
              <w:rPr>
                <w:webHidden/>
                <w:color w:val="auto"/>
              </w:rPr>
              <w:instrText xml:space="preserve"> PAGEREF _Toc192002931 \h </w:instrText>
            </w:r>
            <w:r w:rsidRPr="000D4575">
              <w:rPr>
                <w:webHidden/>
                <w:color w:val="auto"/>
              </w:rPr>
            </w:r>
            <w:r w:rsidRPr="000D4575">
              <w:rPr>
                <w:webHidden/>
                <w:color w:val="auto"/>
              </w:rPr>
              <w:fldChar w:fldCharType="separate"/>
            </w:r>
            <w:r w:rsidRPr="000D4575">
              <w:rPr>
                <w:webHidden/>
                <w:color w:val="auto"/>
              </w:rPr>
              <w:t>16</w:t>
            </w:r>
            <w:r w:rsidRPr="000D4575">
              <w:rPr>
                <w:webHidden/>
                <w:color w:val="auto"/>
              </w:rPr>
              <w:fldChar w:fldCharType="end"/>
            </w:r>
          </w:hyperlink>
        </w:p>
        <w:p w14:paraId="5E67BF78" w14:textId="0EC50839" w:rsidR="000D4575" w:rsidRPr="000D4575" w:rsidRDefault="000D4575">
          <w:pPr>
            <w:pStyle w:val="TOC2"/>
            <w:rPr>
              <w:rFonts w:asciiTheme="minorHAnsi" w:eastAsiaTheme="minorEastAsia" w:hAnsiTheme="minorHAnsi" w:cstheme="minorBidi"/>
              <w:b w:val="0"/>
              <w:bCs w:val="0"/>
              <w:color w:val="auto"/>
              <w:kern w:val="2"/>
              <w:sz w:val="24"/>
              <w:szCs w:val="24"/>
              <w:lang w:val="ro-RO" w:eastAsia="ro-RO"/>
              <w14:ligatures w14:val="standardContextual"/>
            </w:rPr>
          </w:pPr>
          <w:hyperlink w:anchor="_Toc192002932" w:history="1">
            <w:r w:rsidRPr="000D4575">
              <w:rPr>
                <w:rStyle w:val="Hyperlink"/>
                <w:color w:val="auto"/>
              </w:rPr>
              <w:t>6.6 Implement Data Protection and Cybersecurity Best Practices</w:t>
            </w:r>
            <w:r w:rsidRPr="000D4575">
              <w:rPr>
                <w:webHidden/>
                <w:color w:val="auto"/>
              </w:rPr>
              <w:tab/>
            </w:r>
            <w:r w:rsidRPr="000D4575">
              <w:rPr>
                <w:webHidden/>
                <w:color w:val="auto"/>
              </w:rPr>
              <w:fldChar w:fldCharType="begin"/>
            </w:r>
            <w:r w:rsidRPr="000D4575">
              <w:rPr>
                <w:webHidden/>
                <w:color w:val="auto"/>
              </w:rPr>
              <w:instrText xml:space="preserve"> PAGEREF _Toc192002932 \h </w:instrText>
            </w:r>
            <w:r w:rsidRPr="000D4575">
              <w:rPr>
                <w:webHidden/>
                <w:color w:val="auto"/>
              </w:rPr>
            </w:r>
            <w:r w:rsidRPr="000D4575">
              <w:rPr>
                <w:webHidden/>
                <w:color w:val="auto"/>
              </w:rPr>
              <w:fldChar w:fldCharType="separate"/>
            </w:r>
            <w:r w:rsidRPr="000D4575">
              <w:rPr>
                <w:webHidden/>
                <w:color w:val="auto"/>
              </w:rPr>
              <w:t>17</w:t>
            </w:r>
            <w:r w:rsidRPr="000D4575">
              <w:rPr>
                <w:webHidden/>
                <w:color w:val="auto"/>
              </w:rPr>
              <w:fldChar w:fldCharType="end"/>
            </w:r>
          </w:hyperlink>
        </w:p>
        <w:p w14:paraId="4D294099" w14:textId="6FF290D1" w:rsidR="000D4575" w:rsidRPr="000D4575" w:rsidRDefault="000D4575">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hyperlink w:anchor="_Toc192002933" w:history="1">
            <w:r w:rsidRPr="000D4575">
              <w:rPr>
                <w:rStyle w:val="Hyperlink"/>
                <w:noProof/>
                <w:color w:val="auto"/>
              </w:rPr>
              <w:t>7.Conclusions</w:t>
            </w:r>
            <w:r w:rsidRPr="000D4575">
              <w:rPr>
                <w:noProof/>
                <w:webHidden/>
                <w:color w:val="auto"/>
              </w:rPr>
              <w:tab/>
            </w:r>
            <w:r w:rsidRPr="000D4575">
              <w:rPr>
                <w:noProof/>
                <w:webHidden/>
                <w:color w:val="auto"/>
              </w:rPr>
              <w:fldChar w:fldCharType="begin"/>
            </w:r>
            <w:r w:rsidRPr="000D4575">
              <w:rPr>
                <w:noProof/>
                <w:webHidden/>
                <w:color w:val="auto"/>
              </w:rPr>
              <w:instrText xml:space="preserve"> PAGEREF _Toc192002933 \h </w:instrText>
            </w:r>
            <w:r w:rsidRPr="000D4575">
              <w:rPr>
                <w:noProof/>
                <w:webHidden/>
                <w:color w:val="auto"/>
              </w:rPr>
            </w:r>
            <w:r w:rsidRPr="000D4575">
              <w:rPr>
                <w:noProof/>
                <w:webHidden/>
                <w:color w:val="auto"/>
              </w:rPr>
              <w:fldChar w:fldCharType="separate"/>
            </w:r>
            <w:r w:rsidRPr="000D4575">
              <w:rPr>
                <w:noProof/>
                <w:webHidden/>
                <w:color w:val="auto"/>
              </w:rPr>
              <w:t>17</w:t>
            </w:r>
            <w:r w:rsidRPr="000D4575">
              <w:rPr>
                <w:noProof/>
                <w:webHidden/>
                <w:color w:val="auto"/>
              </w:rPr>
              <w:fldChar w:fldCharType="end"/>
            </w:r>
          </w:hyperlink>
        </w:p>
        <w:p w14:paraId="42A01DE6" w14:textId="69DA2E9F" w:rsidR="000D4575" w:rsidRDefault="000D4575">
          <w:pPr>
            <w:pStyle w:val="TOC1"/>
            <w:rPr>
              <w:rFonts w:asciiTheme="minorHAnsi" w:eastAsiaTheme="minorEastAsia" w:hAnsiTheme="minorHAnsi" w:cstheme="minorBidi"/>
              <w:b w:val="0"/>
              <w:bCs w:val="0"/>
              <w:caps w:val="0"/>
              <w:noProof/>
              <w:color w:val="auto"/>
              <w:kern w:val="2"/>
              <w:sz w:val="24"/>
              <w:szCs w:val="24"/>
              <w:lang w:val="ro-RO" w:eastAsia="ro-RO"/>
              <w14:ligatures w14:val="standardContextual"/>
            </w:rPr>
          </w:pPr>
          <w:hyperlink w:anchor="_Toc192002934" w:history="1">
            <w:r w:rsidRPr="001B2E95">
              <w:rPr>
                <w:rStyle w:val="Hyperlink"/>
                <w:noProof/>
              </w:rPr>
              <w:t>8.References</w:t>
            </w:r>
            <w:r>
              <w:rPr>
                <w:noProof/>
                <w:webHidden/>
              </w:rPr>
              <w:tab/>
            </w:r>
            <w:r>
              <w:rPr>
                <w:noProof/>
                <w:webHidden/>
              </w:rPr>
              <w:fldChar w:fldCharType="begin"/>
            </w:r>
            <w:r>
              <w:rPr>
                <w:noProof/>
                <w:webHidden/>
              </w:rPr>
              <w:instrText xml:space="preserve"> PAGEREF _Toc192002934 \h </w:instrText>
            </w:r>
            <w:r>
              <w:rPr>
                <w:noProof/>
                <w:webHidden/>
              </w:rPr>
            </w:r>
            <w:r>
              <w:rPr>
                <w:noProof/>
                <w:webHidden/>
              </w:rPr>
              <w:fldChar w:fldCharType="separate"/>
            </w:r>
            <w:r>
              <w:rPr>
                <w:noProof/>
                <w:webHidden/>
              </w:rPr>
              <w:t>17</w:t>
            </w:r>
            <w:r>
              <w:rPr>
                <w:noProof/>
                <w:webHidden/>
              </w:rPr>
              <w:fldChar w:fldCharType="end"/>
            </w:r>
          </w:hyperlink>
        </w:p>
        <w:p w14:paraId="611B8055" w14:textId="13A7E51D" w:rsidR="00727737" w:rsidRDefault="00000000">
          <w:pPr>
            <w:widowControl w:val="0"/>
            <w:tabs>
              <w:tab w:val="right" w:pos="12000"/>
            </w:tabs>
            <w:spacing w:before="60" w:after="0"/>
            <w:ind w:right="0"/>
            <w:jc w:val="left"/>
            <w:rPr>
              <w:rFonts w:ascii="Arial" w:eastAsia="Arial" w:hAnsi="Arial"/>
              <w:b/>
              <w:color w:val="000000"/>
            </w:rPr>
          </w:pPr>
          <w:r>
            <w:fldChar w:fldCharType="end"/>
          </w:r>
        </w:p>
      </w:sdtContent>
    </w:sdt>
    <w:p w14:paraId="771718D0" w14:textId="77777777" w:rsidR="00727737" w:rsidRDefault="00727737"/>
    <w:p w14:paraId="4C1FDEE5" w14:textId="77777777" w:rsidR="00727737" w:rsidRDefault="00000000">
      <w:pPr>
        <w:widowControl w:val="0"/>
        <w:pBdr>
          <w:top w:val="nil"/>
          <w:left w:val="nil"/>
          <w:bottom w:val="nil"/>
          <w:right w:val="nil"/>
          <w:between w:val="nil"/>
        </w:pBdr>
        <w:spacing w:before="84" w:after="120" w:line="246" w:lineRule="auto"/>
        <w:ind w:right="58"/>
        <w:rPr>
          <w:rFonts w:cs="Open Sans"/>
          <w:b/>
          <w:color w:val="000000"/>
          <w:sz w:val="20"/>
          <w:szCs w:val="20"/>
        </w:rPr>
      </w:pPr>
      <w:r>
        <w:rPr>
          <w:rFonts w:cs="Open Sans"/>
          <w:b/>
          <w:color w:val="000000"/>
          <w:sz w:val="20"/>
          <w:szCs w:val="20"/>
        </w:rPr>
        <w:t>Disclaimer</w:t>
      </w:r>
    </w:p>
    <w:p w14:paraId="7DB6D06D" w14:textId="77777777" w:rsidR="00727737" w:rsidRDefault="00000000">
      <w:pPr>
        <w:rPr>
          <w:color w:val="000000"/>
        </w:rPr>
      </w:pPr>
      <w:r>
        <w:rPr>
          <w:color w:val="000000"/>
        </w:rPr>
        <w:t>The content and views expressed in this material are those of the authors and do not necessarily reflect the views or opinion of the ERA-Net SES initiative. Any reference given does not necessarily imply the endorsement by ERA-Net SES.</w:t>
      </w:r>
    </w:p>
    <w:p w14:paraId="6966F29C" w14:textId="77777777" w:rsidR="00727737" w:rsidRDefault="00727737">
      <w:pPr>
        <w:widowControl w:val="0"/>
        <w:pBdr>
          <w:top w:val="nil"/>
          <w:left w:val="nil"/>
          <w:bottom w:val="nil"/>
          <w:right w:val="nil"/>
          <w:between w:val="nil"/>
        </w:pBdr>
        <w:spacing w:after="0"/>
        <w:ind w:right="0"/>
        <w:rPr>
          <w:rFonts w:cs="Open Sans"/>
          <w:color w:val="000000"/>
          <w:sz w:val="20"/>
          <w:szCs w:val="20"/>
        </w:rPr>
      </w:pPr>
    </w:p>
    <w:p w14:paraId="2D76452E" w14:textId="77777777" w:rsidR="00727737" w:rsidRDefault="00000000">
      <w:pPr>
        <w:widowControl w:val="0"/>
        <w:pBdr>
          <w:top w:val="nil"/>
          <w:left w:val="nil"/>
          <w:bottom w:val="nil"/>
          <w:right w:val="nil"/>
          <w:between w:val="nil"/>
        </w:pBdr>
        <w:spacing w:before="84" w:after="120" w:line="246" w:lineRule="auto"/>
        <w:ind w:right="58"/>
        <w:rPr>
          <w:rFonts w:cs="Open Sans"/>
          <w:b/>
          <w:color w:val="000000"/>
          <w:sz w:val="20"/>
          <w:szCs w:val="20"/>
        </w:rPr>
      </w:pPr>
      <w:bookmarkStart w:id="2" w:name="_heading=h.1fob9te" w:colFirst="0" w:colLast="0"/>
      <w:bookmarkEnd w:id="2"/>
      <w:r>
        <w:rPr>
          <w:rFonts w:cs="Open Sans"/>
          <w:b/>
          <w:color w:val="000000"/>
          <w:sz w:val="20"/>
          <w:szCs w:val="20"/>
        </w:rPr>
        <w:t>About ERA-Net Smart Energy Systems</w:t>
      </w:r>
    </w:p>
    <w:p w14:paraId="2D48CEE1" w14:textId="77777777" w:rsidR="00727737" w:rsidRDefault="00000000">
      <w:pPr>
        <w:rPr>
          <w:color w:val="000000"/>
        </w:rPr>
      </w:pPr>
      <w:r>
        <w:rPr>
          <w:color w:val="000000"/>
        </w:rPr>
        <w:t>ERA-Net Smart Energy Systems (ERA-Net SES) is a transnational joint programming platform of 30 national and regional funding partners for initiating co-creation and promoting energy system innovation. The network of owners and managers of national and regional public funding programs along the innovation chain provides a sustainable and service oriented joint programming platform to finance projects in thematic areas like Smart Power Grids, Regional and Local Energy Systems, Heating and Cooling Networks, Digital Energy and Smart Services, etc.</w:t>
      </w:r>
    </w:p>
    <w:p w14:paraId="5D35470F" w14:textId="77777777" w:rsidR="00727737" w:rsidRDefault="00000000">
      <w:pPr>
        <w:rPr>
          <w:color w:val="000000"/>
        </w:rPr>
      </w:pPr>
      <w:r>
        <w:rPr>
          <w:color w:val="000000"/>
        </w:rPr>
        <w:t>Co-creating with partners that help to understand the needs of relevant stakeholders, we team up with intermediaries to provide an innovation eco-system supporting consortia for research, innovation, technical development, piloting and demonstration activities. These co-operations pave the way towards implementation in real-life environments and market introduction.</w:t>
      </w:r>
    </w:p>
    <w:p w14:paraId="5FF3E290" w14:textId="77777777" w:rsidR="00727737" w:rsidRDefault="00000000">
      <w:pPr>
        <w:rPr>
          <w:color w:val="000000"/>
        </w:rPr>
      </w:pPr>
      <w:r>
        <w:rPr>
          <w:color w:val="000000"/>
        </w:rPr>
        <w:t>Beyond that, ERA-Net SES provides a Knowledge Community, involving key demo projects and experts from all over Europe, to facilitate learning between projects and programs from the local level up to the European level.</w:t>
      </w:r>
    </w:p>
    <w:p w14:paraId="2A479F88" w14:textId="77777777" w:rsidR="00727737" w:rsidRDefault="00000000">
      <w:pPr>
        <w:widowControl w:val="0"/>
        <w:pBdr>
          <w:top w:val="nil"/>
          <w:left w:val="nil"/>
          <w:bottom w:val="nil"/>
          <w:right w:val="nil"/>
          <w:between w:val="nil"/>
        </w:pBdr>
        <w:spacing w:after="0"/>
        <w:ind w:right="0"/>
        <w:rPr>
          <w:rFonts w:cs="Open Sans"/>
          <w:color w:val="000000"/>
          <w:sz w:val="20"/>
          <w:szCs w:val="20"/>
        </w:rPr>
      </w:pPr>
      <w:hyperlink r:id="rId8">
        <w:r>
          <w:rPr>
            <w:rFonts w:cs="Open Sans"/>
            <w:color w:val="000000"/>
            <w:sz w:val="20"/>
            <w:szCs w:val="20"/>
            <w:u w:val="single"/>
          </w:rPr>
          <w:t>www.eranet-smartenergysystems.eu</w:t>
        </w:r>
      </w:hyperlink>
      <w:r>
        <w:rPr>
          <w:rFonts w:cs="Open Sans"/>
          <w:color w:val="000000"/>
          <w:sz w:val="20"/>
          <w:szCs w:val="20"/>
        </w:rPr>
        <w:t xml:space="preserve"> </w:t>
      </w:r>
    </w:p>
    <w:p w14:paraId="18BFE97E" w14:textId="77777777" w:rsidR="00727737" w:rsidRDefault="00727737">
      <w:pPr>
        <w:rPr>
          <w:color w:val="000000"/>
        </w:rPr>
      </w:pPr>
    </w:p>
    <w:p w14:paraId="156D4C62" w14:textId="77777777" w:rsidR="00727737" w:rsidRDefault="00000000" w:rsidP="00BD416D">
      <w:pPr>
        <w:pStyle w:val="Heading1"/>
        <w:numPr>
          <w:ilvl w:val="0"/>
          <w:numId w:val="0"/>
        </w:numPr>
        <w:ind w:left="720" w:hanging="720"/>
        <w:rPr>
          <w:color w:val="000000"/>
        </w:rPr>
      </w:pPr>
      <w:bookmarkStart w:id="3" w:name="_Toc192002907"/>
      <w:r>
        <w:rPr>
          <w:color w:val="000000"/>
        </w:rPr>
        <w:t>1.Introduction</w:t>
      </w:r>
      <w:bookmarkEnd w:id="3"/>
    </w:p>
    <w:p w14:paraId="1D181BA1" w14:textId="77777777" w:rsidR="00727737" w:rsidRDefault="00000000">
      <w:pPr>
        <w:spacing w:before="240" w:after="240"/>
        <w:ind w:right="0"/>
        <w:rPr>
          <w:color w:val="000000"/>
        </w:rPr>
      </w:pPr>
      <w:r>
        <w:rPr>
          <w:color w:val="000000"/>
        </w:rPr>
        <w:t xml:space="preserve">The primary goal of Task 2.3 is to </w:t>
      </w:r>
      <w:proofErr w:type="spellStart"/>
      <w:r>
        <w:rPr>
          <w:color w:val="000000"/>
        </w:rPr>
        <w:t>analyze</w:t>
      </w:r>
      <w:proofErr w:type="spellEnd"/>
      <w:r>
        <w:rPr>
          <w:color w:val="000000"/>
        </w:rPr>
        <w:t xml:space="preserve"> and assess the legal requirements and regulatory landscape related to the </w:t>
      </w:r>
      <w:r>
        <w:rPr>
          <w:i/>
          <w:color w:val="000000"/>
        </w:rPr>
        <w:t>ZERODEFECT4PV</w:t>
      </w:r>
      <w:r>
        <w:rPr>
          <w:color w:val="000000"/>
        </w:rPr>
        <w:t xml:space="preserve"> project. Given the nature of the project, which involves the deployment of innovative solar panel monitoring technology and data collection units (DCUs) in multiple EU countries, it is essential to ensure compliance with various regulations governing energy, data privacy, and telecommunications.</w:t>
      </w:r>
    </w:p>
    <w:p w14:paraId="40E8A2AA" w14:textId="77777777" w:rsidR="00727737" w:rsidRDefault="00000000">
      <w:pPr>
        <w:spacing w:before="240" w:after="240"/>
        <w:ind w:right="0"/>
        <w:rPr>
          <w:color w:val="000000"/>
        </w:rPr>
      </w:pPr>
      <w:r>
        <w:rPr>
          <w:color w:val="000000"/>
        </w:rPr>
        <w:t>This task seeks to provide a comprehensive understanding of the legal obligations the project must adhere to, while also identifying potential barriers to implementation or deployment. The analysis is based on applicable European Union (EU) regulations, national laws, and international standards.</w:t>
      </w:r>
    </w:p>
    <w:p w14:paraId="37B52FEC" w14:textId="77777777" w:rsidR="00727737" w:rsidRDefault="00000000" w:rsidP="00BD416D">
      <w:pPr>
        <w:pStyle w:val="Heading1"/>
        <w:numPr>
          <w:ilvl w:val="0"/>
          <w:numId w:val="0"/>
        </w:numPr>
        <w:ind w:left="720" w:hanging="720"/>
        <w:rPr>
          <w:color w:val="000000"/>
        </w:rPr>
      </w:pPr>
      <w:bookmarkStart w:id="4" w:name="_Toc192002908"/>
      <w:r>
        <w:rPr>
          <w:color w:val="000000"/>
        </w:rPr>
        <w:lastRenderedPageBreak/>
        <w:t>2. Legal and Regulatory Framework Overview</w:t>
      </w:r>
      <w:bookmarkEnd w:id="4"/>
    </w:p>
    <w:p w14:paraId="3CFC343F" w14:textId="77777777" w:rsidR="00727737" w:rsidRDefault="00000000" w:rsidP="000344AD">
      <w:pPr>
        <w:pStyle w:val="Heading2"/>
        <w:numPr>
          <w:ilvl w:val="0"/>
          <w:numId w:val="0"/>
        </w:numPr>
        <w:spacing w:after="240"/>
        <w:ind w:right="0"/>
        <w:rPr>
          <w:color w:val="000000"/>
        </w:rPr>
      </w:pPr>
      <w:bookmarkStart w:id="5" w:name="_Toc192002909"/>
      <w:r>
        <w:rPr>
          <w:color w:val="000000"/>
        </w:rPr>
        <w:t>2.1.EU Renewable Energy Directives</w:t>
      </w:r>
      <w:bookmarkEnd w:id="5"/>
    </w:p>
    <w:p w14:paraId="326D219D" w14:textId="77777777" w:rsidR="00727737" w:rsidRDefault="00000000">
      <w:pPr>
        <w:spacing w:before="240" w:after="240"/>
        <w:ind w:right="0"/>
        <w:rPr>
          <w:b/>
          <w:color w:val="000000"/>
        </w:rPr>
      </w:pPr>
      <w:r>
        <w:rPr>
          <w:b/>
          <w:color w:val="000000"/>
        </w:rPr>
        <w:t>Directive (EU) 2018/2001 – Renewable Energy Directive</w:t>
      </w:r>
    </w:p>
    <w:p w14:paraId="1FAF5DE0" w14:textId="77777777" w:rsidR="00727737" w:rsidRDefault="00000000">
      <w:pPr>
        <w:spacing w:after="0"/>
        <w:ind w:right="0"/>
        <w:rPr>
          <w:color w:val="000000"/>
        </w:rPr>
      </w:pPr>
      <w:r>
        <w:rPr>
          <w:color w:val="000000"/>
        </w:rPr>
        <w:t>The Renewable Energy Directive, revised in 2018, is a central component of the EU’s commitment to increasing renewable energy usage, with a target of 32% renewable energy in the EU’s total energy mix by 2030.</w:t>
      </w:r>
    </w:p>
    <w:p w14:paraId="25B12C0C" w14:textId="77777777" w:rsidR="00727737" w:rsidRDefault="00000000">
      <w:pPr>
        <w:spacing w:after="0"/>
        <w:ind w:right="0"/>
        <w:rPr>
          <w:color w:val="000000"/>
        </w:rPr>
      </w:pPr>
      <w:r>
        <w:rPr>
          <w:color w:val="000000"/>
        </w:rPr>
        <w:t>The key requirements for the deployment of solar energy systems related to the renewable energy directives are:</w:t>
      </w:r>
    </w:p>
    <w:p w14:paraId="18F3A1C0" w14:textId="77777777" w:rsidR="00727737" w:rsidRDefault="00000000">
      <w:pPr>
        <w:numPr>
          <w:ilvl w:val="0"/>
          <w:numId w:val="20"/>
        </w:numPr>
        <w:spacing w:after="0"/>
        <w:ind w:right="0"/>
        <w:rPr>
          <w:color w:val="000000"/>
        </w:rPr>
      </w:pPr>
      <w:r>
        <w:rPr>
          <w:color w:val="000000"/>
        </w:rPr>
        <w:t xml:space="preserve">Promotion of Renewable Energy Sources: </w:t>
      </w:r>
      <w:proofErr w:type="gramStart"/>
      <w:r>
        <w:rPr>
          <w:color w:val="000000"/>
        </w:rPr>
        <w:t>Renewable  Energy</w:t>
      </w:r>
      <w:proofErr w:type="gramEnd"/>
      <w:r>
        <w:rPr>
          <w:color w:val="000000"/>
        </w:rPr>
        <w:t xml:space="preserve"> Mandates EU Member States to facilitate the integration of renewable energy sources (RES), such as solar energy, into the energy </w:t>
      </w:r>
      <w:proofErr w:type="spellStart"/>
      <w:r>
        <w:rPr>
          <w:color w:val="000000"/>
        </w:rPr>
        <w:t>grid.Promoting</w:t>
      </w:r>
      <w:proofErr w:type="spellEnd"/>
      <w:r>
        <w:rPr>
          <w:color w:val="000000"/>
        </w:rPr>
        <w:t xml:space="preserve"> the use of renewable energy in the electricity sector, with the scope of reducing energy consumption and greenhouse gases. </w:t>
      </w:r>
    </w:p>
    <w:p w14:paraId="559110F9" w14:textId="77777777" w:rsidR="00727737" w:rsidRDefault="00000000">
      <w:pPr>
        <w:numPr>
          <w:ilvl w:val="0"/>
          <w:numId w:val="20"/>
        </w:numPr>
        <w:spacing w:after="0"/>
        <w:ind w:right="0"/>
        <w:rPr>
          <w:color w:val="000000"/>
        </w:rPr>
      </w:pPr>
      <w:r>
        <w:rPr>
          <w:color w:val="000000"/>
        </w:rPr>
        <w:t>Support Schemes: Encourages Member States to create support schemes, such as subsidies, to make solar energy more economically viable for consumers and producers. Support schemes for electricity from renewable sources or ‘renewable electricity’ have been demonstrated to be an effective way of fostering the deployment of renewable electricity. Also, incentives should be provided for integrating electricity from renewable sources in the electricity market in a market-based and market-responsive way while avoiding unnecessary distortions of electricity markets and considering possible system integration costs and grid stability.</w:t>
      </w:r>
    </w:p>
    <w:p w14:paraId="39451293" w14:textId="77777777" w:rsidR="00727737" w:rsidRDefault="00000000">
      <w:pPr>
        <w:numPr>
          <w:ilvl w:val="0"/>
          <w:numId w:val="20"/>
        </w:numPr>
        <w:spacing w:after="0"/>
        <w:ind w:right="0"/>
        <w:rPr>
          <w:color w:val="000000"/>
        </w:rPr>
      </w:pPr>
      <w:r>
        <w:rPr>
          <w:color w:val="000000"/>
        </w:rPr>
        <w:t xml:space="preserve">Simplified Administrative Procedures: Member States must streamline permitting and administrative procedures for renewable energy projects, especially for small-scale projects like rooftop solar installations on residential and commercial </w:t>
      </w:r>
      <w:proofErr w:type="spellStart"/>
      <w:proofErr w:type="gramStart"/>
      <w:r>
        <w:rPr>
          <w:color w:val="000000"/>
        </w:rPr>
        <w:t>buildings,and</w:t>
      </w:r>
      <w:proofErr w:type="spellEnd"/>
      <w:proofErr w:type="gramEnd"/>
      <w:r>
        <w:rPr>
          <w:color w:val="000000"/>
        </w:rPr>
        <w:t xml:space="preserve"> demonstration projects.</w:t>
      </w:r>
    </w:p>
    <w:p w14:paraId="29E65D62" w14:textId="77777777" w:rsidR="00727737" w:rsidRDefault="00000000">
      <w:pPr>
        <w:numPr>
          <w:ilvl w:val="0"/>
          <w:numId w:val="20"/>
        </w:numPr>
        <w:spacing w:after="0"/>
        <w:ind w:right="0"/>
        <w:rPr>
          <w:color w:val="000000"/>
        </w:rPr>
      </w:pPr>
      <w:r>
        <w:rPr>
          <w:color w:val="000000"/>
        </w:rPr>
        <w:t>Self-Consumption and Prosumers: RED II introduces the concept of “renewable self-consumers” (prosumers), allowing households and businesses to produce, consume, store, and sell surplus renewable energy without facing excessive administrative or regulatory burdens.[1]</w:t>
      </w:r>
    </w:p>
    <w:p w14:paraId="05993320" w14:textId="77777777" w:rsidR="00727737" w:rsidRDefault="00000000" w:rsidP="000344AD">
      <w:pPr>
        <w:pStyle w:val="Heading2"/>
        <w:numPr>
          <w:ilvl w:val="0"/>
          <w:numId w:val="0"/>
        </w:numPr>
        <w:spacing w:after="0"/>
        <w:ind w:right="0"/>
        <w:rPr>
          <w:color w:val="000000"/>
        </w:rPr>
      </w:pPr>
      <w:bookmarkStart w:id="6" w:name="_Toc192002910"/>
      <w:r>
        <w:rPr>
          <w:color w:val="000000"/>
        </w:rPr>
        <w:t>2.</w:t>
      </w:r>
      <w:proofErr w:type="gramStart"/>
      <w:r>
        <w:rPr>
          <w:color w:val="000000"/>
        </w:rPr>
        <w:t>2.Data</w:t>
      </w:r>
      <w:proofErr w:type="gramEnd"/>
      <w:r>
        <w:rPr>
          <w:color w:val="000000"/>
        </w:rPr>
        <w:t xml:space="preserve"> protection laws</w:t>
      </w:r>
      <w:bookmarkEnd w:id="6"/>
      <w:r>
        <w:rPr>
          <w:color w:val="000000"/>
        </w:rPr>
        <w:t xml:space="preserve"> </w:t>
      </w:r>
    </w:p>
    <w:p w14:paraId="614B00C7" w14:textId="77777777" w:rsidR="00727737" w:rsidRDefault="00000000">
      <w:pPr>
        <w:spacing w:after="0"/>
        <w:ind w:right="0"/>
        <w:rPr>
          <w:color w:val="000000"/>
        </w:rPr>
      </w:pPr>
      <w:r>
        <w:rPr>
          <w:color w:val="000000"/>
        </w:rPr>
        <w:t>Data protection and security protocols, particularly the General Data Protection Regulation (GDPR), are crucial for properly processing personal data.</w:t>
      </w:r>
    </w:p>
    <w:p w14:paraId="1569CE4D" w14:textId="77777777" w:rsidR="00727737" w:rsidRDefault="00000000">
      <w:pPr>
        <w:spacing w:after="0"/>
        <w:ind w:right="0"/>
        <w:rPr>
          <w:color w:val="000000"/>
        </w:rPr>
      </w:pPr>
      <w:r>
        <w:rPr>
          <w:color w:val="000000"/>
        </w:rPr>
        <w:t>The AI Act (Regulation (EU) 2024/1689), introduced by the EU, is legally binding in Germany and Romania. However, this regulation has yet to be transposed into national law in Germany. The AI Act establishes stringent regulations and assessments, particularly when artificial intelligence (AI) is employed in critical infrastructures and processes personal data that could be used to identify individuals.</w:t>
      </w:r>
    </w:p>
    <w:p w14:paraId="171C2B0E" w14:textId="77777777" w:rsidR="00727737" w:rsidRDefault="00000000">
      <w:pPr>
        <w:spacing w:after="0"/>
        <w:ind w:right="0"/>
        <w:rPr>
          <w:color w:val="000000"/>
        </w:rPr>
      </w:pPr>
      <w:proofErr w:type="gramStart"/>
      <w:r>
        <w:rPr>
          <w:color w:val="000000"/>
        </w:rPr>
        <w:t>DAMA(</w:t>
      </w:r>
      <w:proofErr w:type="gramEnd"/>
      <w:r>
        <w:rPr>
          <w:color w:val="000000"/>
        </w:rPr>
        <w:t xml:space="preserve">Data Management Association) International defines Data Governance as “the exercise of authority and control (planning, monitoring, and enforcement) over the management of data assets.” The General Data Protection Regulation of 2016 marked a significant global data protection law milestone, introducing stringent measures to safeguard individual privacy rights in the digital age. However, the regulatory landscape </w:t>
      </w:r>
      <w:r>
        <w:rPr>
          <w:color w:val="000000"/>
        </w:rPr>
        <w:lastRenderedPageBreak/>
        <w:t xml:space="preserve">has since evolved with the Artificial Intelligence Act of 2024, a groundbreaking legislation addressing the governance of artificial intelligence (AI) systems within the European Union (EU). While both regulations aim to empower individuals and safeguard rights, a critical analysis is necessary. The GDPR’s focus on data privacy and control might conflict with the AI Act’s need for data access for certain AI applications. Conversely, the AI Act 2024 emphasises responsible development and risk management, which could reinforce the GDPR’s objectives. </w:t>
      </w:r>
    </w:p>
    <w:p w14:paraId="2EAC6BB7" w14:textId="77777777" w:rsidR="00727737" w:rsidRDefault="00000000">
      <w:pPr>
        <w:spacing w:after="0"/>
        <w:ind w:right="0"/>
        <w:rPr>
          <w:color w:val="000000"/>
        </w:rPr>
      </w:pPr>
      <w:r>
        <w:rPr>
          <w:color w:val="000000"/>
        </w:rPr>
        <w:t>As the regulatory landscape surrounding data protection and artificial intelligence (AI) continues to evolve, several key areas warrant further exploration</w:t>
      </w:r>
    </w:p>
    <w:p w14:paraId="27AD04BA" w14:textId="77777777" w:rsidR="00727737" w:rsidRDefault="00000000">
      <w:pPr>
        <w:spacing w:after="0"/>
        <w:ind w:right="0"/>
        <w:rPr>
          <w:color w:val="000000"/>
        </w:rPr>
      </w:pPr>
      <w:r>
        <w:rPr>
          <w:color w:val="000000"/>
        </w:rPr>
        <w:t>to deepen our understanding of the interaction between the General Data Protection Regulation (GDPR) of 2016 and the Artificial Intelligence Act (AI Act) of 2024.</w:t>
      </w:r>
    </w:p>
    <w:p w14:paraId="339B24B8" w14:textId="77777777" w:rsidR="00727737" w:rsidRDefault="00000000">
      <w:pPr>
        <w:numPr>
          <w:ilvl w:val="0"/>
          <w:numId w:val="22"/>
        </w:numPr>
        <w:spacing w:after="0"/>
        <w:ind w:right="0"/>
        <w:rPr>
          <w:color w:val="000000"/>
        </w:rPr>
      </w:pPr>
      <w:r>
        <w:rPr>
          <w:b/>
          <w:color w:val="000000"/>
        </w:rPr>
        <w:t>Long-term Impact Assessment:</w:t>
      </w:r>
      <w:r>
        <w:rPr>
          <w:color w:val="000000"/>
        </w:rPr>
        <w:t xml:space="preserve"> Future research could focus on conducting longitudinal studies to assess the long-term impact of the GDPR and the AI Act on businesses, organizations, and individuals operating within the European Union (EU). This could involve examining trends in data protection compliance, AI adoption rates, innovation outcomes, and these regulations' overall economic and social implications over time.</w:t>
      </w:r>
    </w:p>
    <w:p w14:paraId="61DC75D1" w14:textId="77777777" w:rsidR="00727737" w:rsidRDefault="00000000">
      <w:pPr>
        <w:numPr>
          <w:ilvl w:val="0"/>
          <w:numId w:val="22"/>
        </w:numPr>
        <w:spacing w:after="0"/>
        <w:ind w:right="0"/>
        <w:rPr>
          <w:color w:val="000000"/>
        </w:rPr>
      </w:pPr>
      <w:r>
        <w:rPr>
          <w:b/>
          <w:color w:val="000000"/>
        </w:rPr>
        <w:t>Ethical and Societal Implications</w:t>
      </w:r>
      <w:r>
        <w:rPr>
          <w:color w:val="000000"/>
        </w:rPr>
        <w:t>: There is a need for research that delves into the ethical and societal implications of AI technologies regulated under the AI Act within the framework of the GDPR. This includes exploring algorithmic bias, discrimination, fairness, accountability, and the broader societal implications of AI-driven decision-making processes on individuals and communities.</w:t>
      </w:r>
    </w:p>
    <w:p w14:paraId="61A0BDFF" w14:textId="77777777" w:rsidR="00727737" w:rsidRDefault="00000000">
      <w:pPr>
        <w:numPr>
          <w:ilvl w:val="0"/>
          <w:numId w:val="22"/>
        </w:numPr>
        <w:spacing w:after="0"/>
        <w:ind w:right="0"/>
        <w:rPr>
          <w:color w:val="000000"/>
        </w:rPr>
      </w:pPr>
      <w:r>
        <w:rPr>
          <w:b/>
          <w:color w:val="000000"/>
        </w:rPr>
        <w:t>Governance and Enforcement Mechanisms:</w:t>
      </w:r>
      <w:r>
        <w:rPr>
          <w:color w:val="000000"/>
        </w:rPr>
        <w:t xml:space="preserve"> Further research could investigate the effectiveness of governance and enforcement mechanisms established under the GDPR and the AI Act. This includes examining the role of regulatory authorities, enforcement actions taken against non-compliant entities, and the challenges associated with cross-border enforcement and cooperation in AI technologies.</w:t>
      </w:r>
    </w:p>
    <w:p w14:paraId="6EA5CF21" w14:textId="77777777" w:rsidR="00727737" w:rsidRDefault="00000000">
      <w:pPr>
        <w:numPr>
          <w:ilvl w:val="0"/>
          <w:numId w:val="22"/>
        </w:numPr>
        <w:spacing w:after="0"/>
        <w:ind w:right="0"/>
        <w:rPr>
          <w:color w:val="000000"/>
        </w:rPr>
      </w:pPr>
      <w:r>
        <w:rPr>
          <w:color w:val="000000"/>
        </w:rPr>
        <w:t>Technological Innovation and Adaptation: As AI technologies advance rapidly, future research could explore how the GDPR and the AI Act adapt to technological innovations and emerging AI applications.[2]</w:t>
      </w:r>
    </w:p>
    <w:p w14:paraId="6A08099D" w14:textId="77777777" w:rsidR="00727737" w:rsidRDefault="00727737">
      <w:pPr>
        <w:spacing w:after="0"/>
        <w:ind w:left="720" w:right="0"/>
        <w:rPr>
          <w:color w:val="000000"/>
        </w:rPr>
      </w:pPr>
    </w:p>
    <w:p w14:paraId="5165CA24" w14:textId="77777777" w:rsidR="00727737" w:rsidRDefault="00000000" w:rsidP="000344AD">
      <w:pPr>
        <w:pStyle w:val="Heading2"/>
        <w:numPr>
          <w:ilvl w:val="0"/>
          <w:numId w:val="0"/>
        </w:numPr>
        <w:spacing w:after="240"/>
        <w:ind w:right="0"/>
        <w:rPr>
          <w:color w:val="000000"/>
        </w:rPr>
      </w:pPr>
      <w:bookmarkStart w:id="7" w:name="_Toc192002911"/>
      <w:r>
        <w:rPr>
          <w:color w:val="000000"/>
        </w:rPr>
        <w:t>2.</w:t>
      </w:r>
      <w:proofErr w:type="gramStart"/>
      <w:r>
        <w:rPr>
          <w:color w:val="000000"/>
        </w:rPr>
        <w:t>3.Regulations</w:t>
      </w:r>
      <w:proofErr w:type="gramEnd"/>
      <w:r>
        <w:rPr>
          <w:color w:val="000000"/>
        </w:rPr>
        <w:t xml:space="preserve"> on Energy Efficiency and Grid Integration</w:t>
      </w:r>
      <w:bookmarkEnd w:id="7"/>
    </w:p>
    <w:p w14:paraId="49089574" w14:textId="77777777" w:rsidR="00727737" w:rsidRDefault="00000000">
      <w:pPr>
        <w:spacing w:before="240" w:after="240"/>
        <w:ind w:right="0"/>
        <w:rPr>
          <w:color w:val="000000"/>
        </w:rPr>
      </w:pPr>
      <w:r>
        <w:rPr>
          <w:color w:val="000000"/>
        </w:rPr>
        <w:t>This project operates within the evolving regulatory landscape of energy efficiency and grid integration in the European Union (EU). Compliance with applicable energy directives and standards is essential to achieve the project's goals of optimizing photovoltaic (PV) panel performance and enabling efficient grid integration. This section outlines the key regulatory frameworks and their implications for the project.</w:t>
      </w:r>
    </w:p>
    <w:p w14:paraId="695A5CD4" w14:textId="59B8D9AB" w:rsidR="00727737" w:rsidRPr="000344AD" w:rsidRDefault="000344AD" w:rsidP="000344AD">
      <w:pPr>
        <w:pStyle w:val="BodyText0"/>
        <w:rPr>
          <w:b/>
          <w:bCs/>
          <w:color w:val="auto"/>
        </w:rPr>
      </w:pPr>
      <w:bookmarkStart w:id="8" w:name="_heading=h.ii9rfz6vwy6j" w:colFirst="0" w:colLast="0"/>
      <w:bookmarkEnd w:id="8"/>
      <w:r>
        <w:rPr>
          <w:b/>
          <w:bCs/>
          <w:color w:val="auto"/>
        </w:rPr>
        <w:t>1.</w:t>
      </w:r>
      <w:r w:rsidR="00000000" w:rsidRPr="000344AD">
        <w:rPr>
          <w:b/>
          <w:bCs/>
          <w:color w:val="auto"/>
        </w:rPr>
        <w:t>Energy Efficiency Regulations</w:t>
      </w:r>
    </w:p>
    <w:p w14:paraId="4AA81B1D" w14:textId="77777777" w:rsidR="00727737" w:rsidRDefault="00000000">
      <w:pPr>
        <w:spacing w:before="240" w:after="240"/>
        <w:ind w:right="0"/>
        <w:rPr>
          <w:color w:val="000000"/>
        </w:rPr>
      </w:pPr>
      <w:r>
        <w:rPr>
          <w:color w:val="000000"/>
        </w:rPr>
        <w:t>The project aligns with the objectives of the</w:t>
      </w:r>
      <w:r>
        <w:rPr>
          <w:b/>
          <w:color w:val="000000"/>
        </w:rPr>
        <w:t xml:space="preserve"> </w:t>
      </w:r>
      <w:r>
        <w:rPr>
          <w:color w:val="000000"/>
        </w:rPr>
        <w:t>Energy Efficiency Directive (EED)</w:t>
      </w:r>
      <w:r>
        <w:rPr>
          <w:b/>
          <w:color w:val="000000"/>
        </w:rPr>
        <w:t xml:space="preserve"> </w:t>
      </w:r>
      <w:r>
        <w:rPr>
          <w:color w:val="000000"/>
        </w:rPr>
        <w:t>(2012/27/EU, amended by Directive (EU) 2018/2002), which mandates increased energy efficiency across the EU. Relevant provisions include:</w:t>
      </w:r>
    </w:p>
    <w:p w14:paraId="2E25092B" w14:textId="77777777" w:rsidR="00727737" w:rsidRDefault="00000000">
      <w:pPr>
        <w:numPr>
          <w:ilvl w:val="0"/>
          <w:numId w:val="8"/>
        </w:numPr>
        <w:spacing w:before="240" w:after="0"/>
        <w:ind w:right="0"/>
        <w:rPr>
          <w:color w:val="000000"/>
        </w:rPr>
      </w:pPr>
      <w:r>
        <w:rPr>
          <w:b/>
          <w:color w:val="000000"/>
        </w:rPr>
        <w:lastRenderedPageBreak/>
        <w:t>Energy Audits and Monitoring:</w:t>
      </w:r>
      <w:r>
        <w:rPr>
          <w:color w:val="000000"/>
        </w:rPr>
        <w:t xml:space="preserve"> The project facilitates granular monitoring at the panel level, supporting the audit processes required for large-scale energy producers.</w:t>
      </w:r>
    </w:p>
    <w:p w14:paraId="5DDD8418" w14:textId="77777777" w:rsidR="00727737" w:rsidRDefault="00000000">
      <w:pPr>
        <w:numPr>
          <w:ilvl w:val="0"/>
          <w:numId w:val="8"/>
        </w:numPr>
        <w:spacing w:after="240"/>
        <w:ind w:right="0"/>
        <w:rPr>
          <w:color w:val="000000"/>
        </w:rPr>
      </w:pPr>
      <w:r>
        <w:rPr>
          <w:b/>
          <w:color w:val="000000"/>
        </w:rPr>
        <w:t>Efficiency Targets:</w:t>
      </w:r>
      <w:r>
        <w:rPr>
          <w:color w:val="000000"/>
        </w:rPr>
        <w:t xml:space="preserve"> By improving PV panel performance through predictive maintenance and real-time monitoring, the project contributes to meeting the EU's energy efficiency targets, which aim for a 32.5% reduction in energy consumption by 2030.</w:t>
      </w:r>
    </w:p>
    <w:p w14:paraId="162185E1" w14:textId="5BD70DD7" w:rsidR="00727737" w:rsidRPr="005E1C81" w:rsidRDefault="005E1C81" w:rsidP="005E1C81">
      <w:pPr>
        <w:pStyle w:val="BodyText0"/>
        <w:rPr>
          <w:b/>
          <w:bCs/>
          <w:color w:val="auto"/>
        </w:rPr>
      </w:pPr>
      <w:bookmarkStart w:id="9" w:name="_heading=h.n6cauxic86oq" w:colFirst="0" w:colLast="0"/>
      <w:bookmarkEnd w:id="9"/>
      <w:r>
        <w:rPr>
          <w:b/>
          <w:bCs/>
          <w:color w:val="auto"/>
        </w:rPr>
        <w:t>2.</w:t>
      </w:r>
      <w:r w:rsidR="00000000" w:rsidRPr="005E1C81">
        <w:rPr>
          <w:b/>
          <w:bCs/>
          <w:color w:val="auto"/>
        </w:rPr>
        <w:t>Grid Integration Standards</w:t>
      </w:r>
    </w:p>
    <w:p w14:paraId="1F19D791" w14:textId="77777777" w:rsidR="00727737" w:rsidRDefault="00000000">
      <w:pPr>
        <w:spacing w:before="240" w:after="240"/>
        <w:ind w:right="0"/>
        <w:rPr>
          <w:color w:val="000000"/>
        </w:rPr>
      </w:pPr>
      <w:r>
        <w:rPr>
          <w:color w:val="000000"/>
        </w:rPr>
        <w:t xml:space="preserve">Compliance with the </w:t>
      </w:r>
      <w:r>
        <w:rPr>
          <w:b/>
          <w:color w:val="000000"/>
        </w:rPr>
        <w:t>EU Renewable Energy Directive (RED II)</w:t>
      </w:r>
      <w:r>
        <w:rPr>
          <w:color w:val="000000"/>
        </w:rPr>
        <w:t xml:space="preserve"> (2018/2001) and associated grid codes is crucial for integrating distributed renewable energy sources:</w:t>
      </w:r>
    </w:p>
    <w:p w14:paraId="3D6F8C73" w14:textId="77777777" w:rsidR="00727737" w:rsidRDefault="00000000">
      <w:pPr>
        <w:numPr>
          <w:ilvl w:val="0"/>
          <w:numId w:val="3"/>
        </w:numPr>
        <w:spacing w:before="240" w:after="0"/>
        <w:ind w:right="0"/>
        <w:rPr>
          <w:color w:val="000000"/>
        </w:rPr>
      </w:pPr>
      <w:r>
        <w:rPr>
          <w:b/>
          <w:color w:val="000000"/>
        </w:rPr>
        <w:t>Grid Interoperability:</w:t>
      </w:r>
      <w:r>
        <w:rPr>
          <w:color w:val="000000"/>
        </w:rPr>
        <w:t xml:space="preserve"> The project's data collection units (DCUs) and predictive maintenance system are designed for interoperability with varying inverter and grid configurations, facilitating seamless integration into diverse grid environments.</w:t>
      </w:r>
    </w:p>
    <w:p w14:paraId="7B6BE925" w14:textId="77777777" w:rsidR="00727737" w:rsidRDefault="00000000">
      <w:pPr>
        <w:numPr>
          <w:ilvl w:val="0"/>
          <w:numId w:val="3"/>
        </w:numPr>
        <w:spacing w:after="0"/>
        <w:ind w:right="0"/>
        <w:rPr>
          <w:color w:val="000000"/>
        </w:rPr>
      </w:pPr>
      <w:r>
        <w:rPr>
          <w:b/>
          <w:color w:val="000000"/>
        </w:rPr>
        <w:t>Energy Storage and Balancing:</w:t>
      </w:r>
      <w:r>
        <w:rPr>
          <w:color w:val="000000"/>
        </w:rPr>
        <w:t xml:space="preserve"> The focus on predictive maintenance aligns with requirements for maintaining grid stability by minimizing disruptions caused by defective PV panels.</w:t>
      </w:r>
    </w:p>
    <w:p w14:paraId="75DC3AAE" w14:textId="77777777" w:rsidR="00727737" w:rsidRDefault="00000000">
      <w:pPr>
        <w:numPr>
          <w:ilvl w:val="0"/>
          <w:numId w:val="3"/>
        </w:numPr>
        <w:spacing w:after="240"/>
        <w:ind w:right="0"/>
        <w:rPr>
          <w:color w:val="000000"/>
        </w:rPr>
      </w:pPr>
      <w:r>
        <w:rPr>
          <w:b/>
          <w:color w:val="000000"/>
        </w:rPr>
        <w:t>Smart Grid Standards:</w:t>
      </w:r>
      <w:r>
        <w:rPr>
          <w:color w:val="000000"/>
        </w:rPr>
        <w:t xml:space="preserve"> ZERODEFECT4PV integrates with smart grid protocols, adhering to standards such as IEC 61850 for communication networks and systems in substations, enabling compatibility with existing grid infrastructures.</w:t>
      </w:r>
    </w:p>
    <w:p w14:paraId="1CC42A5C" w14:textId="12445B68" w:rsidR="00727737" w:rsidRPr="005E1C81" w:rsidRDefault="005E1C81" w:rsidP="005E1C81">
      <w:pPr>
        <w:pStyle w:val="BodyText0"/>
        <w:rPr>
          <w:b/>
          <w:bCs/>
          <w:color w:val="auto"/>
        </w:rPr>
      </w:pPr>
      <w:bookmarkStart w:id="10" w:name="_heading=h.s6jidepvpq1h" w:colFirst="0" w:colLast="0"/>
      <w:bookmarkEnd w:id="10"/>
      <w:proofErr w:type="gramStart"/>
      <w:r>
        <w:rPr>
          <w:b/>
          <w:bCs/>
          <w:color w:val="auto"/>
        </w:rPr>
        <w:t>3,</w:t>
      </w:r>
      <w:r w:rsidR="00000000" w:rsidRPr="005E1C81">
        <w:rPr>
          <w:b/>
          <w:bCs/>
          <w:color w:val="auto"/>
        </w:rPr>
        <w:t>Implications</w:t>
      </w:r>
      <w:proofErr w:type="gramEnd"/>
      <w:r w:rsidR="00000000" w:rsidRPr="005E1C81">
        <w:rPr>
          <w:b/>
          <w:bCs/>
          <w:color w:val="auto"/>
        </w:rPr>
        <w:t xml:space="preserve"> for Pilot Projects</w:t>
      </w:r>
    </w:p>
    <w:p w14:paraId="2C99DCB8" w14:textId="77777777" w:rsidR="00727737" w:rsidRDefault="00000000">
      <w:pPr>
        <w:spacing w:before="240" w:after="240"/>
        <w:ind w:right="0"/>
        <w:rPr>
          <w:color w:val="000000"/>
        </w:rPr>
      </w:pPr>
      <w:r>
        <w:rPr>
          <w:color w:val="000000"/>
        </w:rPr>
        <w:t>The regulatory context directly impacts the pilot implementations in Turkey and Romania:</w:t>
      </w:r>
    </w:p>
    <w:p w14:paraId="25B55BC2" w14:textId="77777777" w:rsidR="00727737" w:rsidRDefault="00000000">
      <w:pPr>
        <w:numPr>
          <w:ilvl w:val="0"/>
          <w:numId w:val="10"/>
        </w:numPr>
        <w:spacing w:before="240" w:after="0"/>
        <w:ind w:right="0"/>
        <w:rPr>
          <w:color w:val="000000"/>
        </w:rPr>
      </w:pPr>
      <w:r>
        <w:rPr>
          <w:b/>
          <w:color w:val="000000"/>
        </w:rPr>
        <w:t>Romanian Pilot:</w:t>
      </w:r>
      <w:r>
        <w:rPr>
          <w:color w:val="000000"/>
        </w:rPr>
        <w:t xml:space="preserve"> Must comply with national regulations implementing the EU directives, particularly grid connection requirements and performance standards for renewable energy installations.</w:t>
      </w:r>
    </w:p>
    <w:p w14:paraId="398DDDF2" w14:textId="77777777" w:rsidR="00727737" w:rsidRDefault="00000000">
      <w:pPr>
        <w:numPr>
          <w:ilvl w:val="0"/>
          <w:numId w:val="10"/>
        </w:numPr>
        <w:spacing w:after="240"/>
        <w:ind w:right="0"/>
        <w:rPr>
          <w:color w:val="000000"/>
        </w:rPr>
      </w:pPr>
      <w:r>
        <w:rPr>
          <w:b/>
          <w:color w:val="000000"/>
        </w:rPr>
        <w:t>Turkish Pilot:</w:t>
      </w:r>
      <w:r>
        <w:rPr>
          <w:color w:val="000000"/>
        </w:rPr>
        <w:t xml:space="preserve"> Though outside the EU, the project incorporates EU-aligned standards to ensure replicability in broader markets and readiness for future regulatory harmonization.</w:t>
      </w:r>
    </w:p>
    <w:p w14:paraId="128856CC" w14:textId="5A4A3671" w:rsidR="00727737" w:rsidRPr="005E1C81" w:rsidRDefault="005E1C81" w:rsidP="005E1C81">
      <w:pPr>
        <w:pStyle w:val="BodyText0"/>
        <w:rPr>
          <w:b/>
          <w:bCs/>
          <w:color w:val="auto"/>
        </w:rPr>
      </w:pPr>
      <w:bookmarkStart w:id="11" w:name="_heading=h.dvrf75656pi8" w:colFirst="0" w:colLast="0"/>
      <w:bookmarkEnd w:id="11"/>
      <w:r w:rsidRPr="005E1C81">
        <w:rPr>
          <w:b/>
          <w:bCs/>
          <w:color w:val="auto"/>
        </w:rPr>
        <w:t>4.</w:t>
      </w:r>
      <w:r w:rsidR="00000000" w:rsidRPr="005E1C81">
        <w:rPr>
          <w:b/>
          <w:bCs/>
          <w:color w:val="auto"/>
        </w:rPr>
        <w:t>Future Compliance Challenges</w:t>
      </w:r>
    </w:p>
    <w:p w14:paraId="13768756" w14:textId="77777777" w:rsidR="00727737" w:rsidRDefault="00000000">
      <w:pPr>
        <w:spacing w:before="240" w:after="240"/>
        <w:ind w:right="0"/>
        <w:rPr>
          <w:color w:val="000000"/>
        </w:rPr>
      </w:pPr>
      <w:r>
        <w:rPr>
          <w:color w:val="000000"/>
        </w:rPr>
        <w:t>As the EU continues to refine its energy policies, the project remains adaptable to emerging regulations, such as:</w:t>
      </w:r>
    </w:p>
    <w:p w14:paraId="45329CB3" w14:textId="77777777" w:rsidR="00727737" w:rsidRDefault="00000000">
      <w:pPr>
        <w:numPr>
          <w:ilvl w:val="0"/>
          <w:numId w:val="11"/>
        </w:numPr>
        <w:spacing w:before="240" w:after="0"/>
        <w:ind w:right="0"/>
        <w:rPr>
          <w:color w:val="000000"/>
        </w:rPr>
      </w:pPr>
      <w:r>
        <w:rPr>
          <w:b/>
          <w:color w:val="000000"/>
        </w:rPr>
        <w:t>Fit for 55 Package:</w:t>
      </w:r>
      <w:r>
        <w:rPr>
          <w:color w:val="000000"/>
        </w:rPr>
        <w:t xml:space="preserve"> Emphasizing the integration of renewable sources and increased energy performance in building and industrial settings.</w:t>
      </w:r>
    </w:p>
    <w:p w14:paraId="41B24A2E" w14:textId="77777777" w:rsidR="00727737" w:rsidRDefault="00000000">
      <w:pPr>
        <w:numPr>
          <w:ilvl w:val="0"/>
          <w:numId w:val="11"/>
        </w:numPr>
        <w:spacing w:after="240"/>
        <w:ind w:right="0"/>
        <w:rPr>
          <w:color w:val="000000"/>
        </w:rPr>
      </w:pPr>
      <w:r>
        <w:rPr>
          <w:b/>
          <w:color w:val="000000"/>
        </w:rPr>
        <w:t>Energy Performance of Buildings Directive (EPBD):</w:t>
      </w:r>
      <w:r>
        <w:rPr>
          <w:color w:val="000000"/>
        </w:rPr>
        <w:t xml:space="preserve"> The project's innovations could support building-level energy efficiency mandates by integrating PV-generated energy with smart building systems.</w:t>
      </w:r>
    </w:p>
    <w:p w14:paraId="6FD4A7AA" w14:textId="77777777" w:rsidR="00727737" w:rsidRDefault="00000000" w:rsidP="00BD416D">
      <w:pPr>
        <w:pStyle w:val="Heading1"/>
        <w:numPr>
          <w:ilvl w:val="0"/>
          <w:numId w:val="0"/>
        </w:numPr>
        <w:ind w:left="720" w:hanging="720"/>
        <w:rPr>
          <w:color w:val="000000"/>
        </w:rPr>
      </w:pPr>
      <w:bookmarkStart w:id="12" w:name="_Toc192002912"/>
      <w:r>
        <w:rPr>
          <w:color w:val="000000"/>
        </w:rPr>
        <w:lastRenderedPageBreak/>
        <w:t>3.Applicable Legal Requirements</w:t>
      </w:r>
      <w:bookmarkEnd w:id="12"/>
    </w:p>
    <w:p w14:paraId="4C31269C" w14:textId="77777777" w:rsidR="00727737" w:rsidRDefault="00000000" w:rsidP="00BD416D">
      <w:pPr>
        <w:pStyle w:val="Heading2"/>
        <w:numPr>
          <w:ilvl w:val="0"/>
          <w:numId w:val="0"/>
        </w:numPr>
        <w:spacing w:after="240"/>
        <w:ind w:right="0"/>
        <w:rPr>
          <w:color w:val="000000"/>
        </w:rPr>
      </w:pPr>
      <w:bookmarkStart w:id="13" w:name="_Toc192002913"/>
      <w:r>
        <w:rPr>
          <w:color w:val="000000"/>
        </w:rPr>
        <w:t>3.</w:t>
      </w:r>
      <w:proofErr w:type="gramStart"/>
      <w:r>
        <w:rPr>
          <w:color w:val="000000"/>
        </w:rPr>
        <w:t>1.Data</w:t>
      </w:r>
      <w:proofErr w:type="gramEnd"/>
      <w:r>
        <w:rPr>
          <w:color w:val="000000"/>
        </w:rPr>
        <w:t xml:space="preserve"> privacy and security protocols- MQTT</w:t>
      </w:r>
      <w:bookmarkEnd w:id="13"/>
    </w:p>
    <w:p w14:paraId="14A30046" w14:textId="77777777" w:rsidR="00727737" w:rsidRDefault="00000000">
      <w:pPr>
        <w:spacing w:before="240" w:after="240"/>
        <w:ind w:right="0"/>
        <w:rPr>
          <w:color w:val="000000"/>
        </w:rPr>
      </w:pPr>
      <w:r>
        <w:rPr>
          <w:color w:val="000000"/>
        </w:rPr>
        <w:t xml:space="preserve">MQTT is an </w:t>
      </w:r>
      <w:proofErr w:type="gramStart"/>
      <w:r>
        <w:rPr>
          <w:color w:val="000000"/>
        </w:rPr>
        <w:t>open-source</w:t>
      </w:r>
      <w:proofErr w:type="gramEnd"/>
      <w:r>
        <w:rPr>
          <w:color w:val="000000"/>
        </w:rPr>
        <w:t xml:space="preserve"> “machine to machine” (M2M) protocol widely used in IoT due to its simplicity based on TCP/IP, which is useful for applications where small amounts of information are sent. The operation of this protocol is based on a publish-subscribe messaging service, based on publisher and subscriber communicating through a central server called broker, transmitting information through a payload chain with a hierarchical tree structure, </w:t>
      </w:r>
      <w:proofErr w:type="gramStart"/>
      <w:r>
        <w:rPr>
          <w:color w:val="000000"/>
        </w:rPr>
        <w:t>similar to</w:t>
      </w:r>
      <w:proofErr w:type="gramEnd"/>
      <w:r>
        <w:rPr>
          <w:color w:val="000000"/>
        </w:rPr>
        <w:t xml:space="preserve"> a directory of folders and at the same time to define well the specifications of the message.[3]</w:t>
      </w:r>
    </w:p>
    <w:p w14:paraId="4C4E297D" w14:textId="77777777" w:rsidR="00727737" w:rsidRDefault="00000000">
      <w:pPr>
        <w:spacing w:before="200" w:line="259" w:lineRule="auto"/>
        <w:ind w:right="0"/>
        <w:rPr>
          <w:color w:val="000000"/>
        </w:rPr>
      </w:pPr>
      <w:r>
        <w:rPr>
          <w:color w:val="000000"/>
        </w:rPr>
        <w:t xml:space="preserve">The MQTT provides data exchange between various devices, servers (brokers), and clients. Data will be published in real-time, and there is no need to query the system to get information. Also, the latest information is transferred to the subscribers even in case of any disconnection. This way, a very efficient communication infrastructure will be provided for data security and transfer. </w:t>
      </w:r>
    </w:p>
    <w:p w14:paraId="593147DA" w14:textId="5550C4AA" w:rsidR="00727737" w:rsidRDefault="00000000">
      <w:pPr>
        <w:spacing w:before="200" w:line="259" w:lineRule="auto"/>
        <w:ind w:right="0"/>
        <w:rPr>
          <w:color w:val="000000"/>
        </w:rPr>
      </w:pPr>
      <w:r>
        <w:rPr>
          <w:color w:val="000000"/>
        </w:rPr>
        <w:t>The communication function, all production data, on-off controls, and the creation of different production scenarios will be provided through the master device. Reports can be obtained for all systems or devices whose production is monitored, and the user will be able to send the on-off commands for the panel he/she chooses directly from the software to the devices. By assigning a time value, on-off signals can be transmitted to the devices automatically, thus creating different control scenarios</w:t>
      </w:r>
      <w:r>
        <w:rPr>
          <w:color w:val="000000"/>
          <w:highlight w:val="white"/>
        </w:rPr>
        <w:t>.</w:t>
      </w:r>
    </w:p>
    <w:p w14:paraId="529E6C35" w14:textId="77777777" w:rsidR="00727737" w:rsidRDefault="00000000" w:rsidP="00BD416D">
      <w:pPr>
        <w:pStyle w:val="Heading2"/>
        <w:numPr>
          <w:ilvl w:val="0"/>
          <w:numId w:val="0"/>
        </w:numPr>
        <w:spacing w:after="240"/>
        <w:ind w:right="0"/>
        <w:rPr>
          <w:color w:val="000000"/>
        </w:rPr>
      </w:pPr>
      <w:bookmarkStart w:id="14" w:name="_Toc192002914"/>
      <w:r>
        <w:rPr>
          <w:color w:val="000000"/>
        </w:rPr>
        <w:t>3.2. Health and safety standards in solar panel maintenance and installation</w:t>
      </w:r>
      <w:bookmarkEnd w:id="14"/>
    </w:p>
    <w:p w14:paraId="22AA0A51" w14:textId="77777777" w:rsidR="00727737" w:rsidRDefault="00000000">
      <w:pPr>
        <w:spacing w:after="0"/>
        <w:ind w:right="0"/>
        <w:rPr>
          <w:color w:val="000000"/>
        </w:rPr>
      </w:pPr>
      <w:r>
        <w:rPr>
          <w:b/>
          <w:color w:val="000000"/>
        </w:rPr>
        <w:t>Regulation 289(2)(e) of the Work Health and Safety (National Uniform Legislation) Regulations 2011</w:t>
      </w:r>
      <w:r>
        <w:rPr>
          <w:color w:val="000000"/>
        </w:rPr>
        <w:t xml:space="preserve"> defines the meaning of construction work, which includes the installation, testing, or maintenance of an essential service about a structure. The installation, testing, or maintenance of solar panels is considered the installation of a critical service (electricity) and is therefore considered to be construction work. A safe work method statement (SWMS) must be prepared for the work. Solar PV installers may do the following work, which is considered high-risk construction work under the Regulations:</w:t>
      </w:r>
    </w:p>
    <w:p w14:paraId="705A8FD4" w14:textId="77777777" w:rsidR="00727737" w:rsidRDefault="00000000">
      <w:pPr>
        <w:numPr>
          <w:ilvl w:val="0"/>
          <w:numId w:val="24"/>
        </w:numPr>
        <w:spacing w:after="0"/>
        <w:ind w:right="0"/>
        <w:rPr>
          <w:color w:val="000000"/>
        </w:rPr>
      </w:pPr>
      <w:r>
        <w:rPr>
          <w:color w:val="000000"/>
        </w:rPr>
        <w:t>Work involving a risk of a person falling more than 2 metres (e.g. installing Solar PV panels on a roof).</w:t>
      </w:r>
    </w:p>
    <w:p w14:paraId="5D4CA004" w14:textId="77777777" w:rsidR="00727737" w:rsidRDefault="00000000">
      <w:pPr>
        <w:numPr>
          <w:ilvl w:val="0"/>
          <w:numId w:val="24"/>
        </w:numPr>
        <w:spacing w:after="0"/>
        <w:ind w:right="0"/>
        <w:rPr>
          <w:color w:val="000000"/>
        </w:rPr>
      </w:pPr>
      <w:r>
        <w:rPr>
          <w:color w:val="000000"/>
        </w:rPr>
        <w:t>Work carried out or near energized electrical installations or services (e.g., installing Solar PV panels near the overhead service line or working in the ceiling space near the cables supplying the switchboard).</w:t>
      </w:r>
    </w:p>
    <w:p w14:paraId="5FA397C9" w14:textId="77777777" w:rsidR="00727737" w:rsidRDefault="00000000">
      <w:pPr>
        <w:numPr>
          <w:ilvl w:val="0"/>
          <w:numId w:val="24"/>
        </w:numPr>
        <w:spacing w:after="0"/>
        <w:ind w:right="0"/>
        <w:rPr>
          <w:color w:val="000000"/>
        </w:rPr>
      </w:pPr>
      <w:r>
        <w:rPr>
          <w:color w:val="000000"/>
        </w:rPr>
        <w:t xml:space="preserve">Work carried out in a workplace where there is any movement of the powered mobile plant (e.g., using a crane or scissor-lift to move equipment onto the roof). </w:t>
      </w:r>
    </w:p>
    <w:p w14:paraId="2202EE29" w14:textId="77777777" w:rsidR="00727737" w:rsidRDefault="00000000">
      <w:pPr>
        <w:numPr>
          <w:ilvl w:val="0"/>
          <w:numId w:val="24"/>
        </w:numPr>
        <w:spacing w:after="0"/>
        <w:ind w:right="0"/>
        <w:rPr>
          <w:color w:val="000000"/>
        </w:rPr>
      </w:pPr>
      <w:r>
        <w:rPr>
          <w:color w:val="000000"/>
        </w:rPr>
        <w:t>Work is carried out in an area with artificial extremes of temperature (e.g., working in the ceiling space to connect the supply cables to the inverter unit). Regulation 291 provides the full list of high-risk construction work activities.</w:t>
      </w:r>
    </w:p>
    <w:p w14:paraId="65776333" w14:textId="77777777" w:rsidR="00727737" w:rsidRDefault="00727737">
      <w:pPr>
        <w:spacing w:after="0"/>
        <w:ind w:left="720" w:right="0"/>
        <w:jc w:val="left"/>
        <w:rPr>
          <w:color w:val="000000"/>
        </w:rPr>
      </w:pPr>
    </w:p>
    <w:p w14:paraId="3025803B" w14:textId="77777777" w:rsidR="00727737" w:rsidRDefault="00000000">
      <w:pPr>
        <w:spacing w:after="0"/>
        <w:ind w:right="0"/>
        <w:rPr>
          <w:b/>
          <w:color w:val="000000"/>
        </w:rPr>
      </w:pPr>
      <w:r>
        <w:rPr>
          <w:b/>
          <w:color w:val="000000"/>
        </w:rPr>
        <w:t>Common hazards for Solar PV installation</w:t>
      </w:r>
    </w:p>
    <w:p w14:paraId="29B53612" w14:textId="77777777" w:rsidR="00727737" w:rsidRDefault="00000000">
      <w:pPr>
        <w:spacing w:after="0"/>
        <w:ind w:right="0"/>
        <w:rPr>
          <w:b/>
          <w:color w:val="000000"/>
        </w:rPr>
      </w:pPr>
      <w:r>
        <w:rPr>
          <w:color w:val="000000"/>
        </w:rPr>
        <w:lastRenderedPageBreak/>
        <w:t>1.</w:t>
      </w:r>
      <w:r>
        <w:rPr>
          <w:b/>
          <w:color w:val="000000"/>
        </w:rPr>
        <w:t xml:space="preserve"> Working on the roof </w:t>
      </w:r>
    </w:p>
    <w:p w14:paraId="27E813D4" w14:textId="77777777" w:rsidR="00727737" w:rsidRDefault="00000000">
      <w:pPr>
        <w:numPr>
          <w:ilvl w:val="0"/>
          <w:numId w:val="16"/>
        </w:numPr>
        <w:spacing w:after="0"/>
        <w:ind w:right="0"/>
        <w:rPr>
          <w:color w:val="000000"/>
        </w:rPr>
      </w:pPr>
      <w:r>
        <w:rPr>
          <w:color w:val="000000"/>
        </w:rPr>
        <w:t xml:space="preserve">Falls from heights – either from open edges of the roof or through fragile sections of roofing, such as skylights, or tripping when moving from one level to another (e.g. from the ladder to the roof). </w:t>
      </w:r>
    </w:p>
    <w:p w14:paraId="0D4D63D7" w14:textId="77777777" w:rsidR="00727737" w:rsidRDefault="00000000">
      <w:pPr>
        <w:numPr>
          <w:ilvl w:val="0"/>
          <w:numId w:val="16"/>
        </w:numPr>
        <w:spacing w:after="0"/>
        <w:ind w:right="0"/>
        <w:rPr>
          <w:color w:val="000000"/>
        </w:rPr>
      </w:pPr>
      <w:r>
        <w:rPr>
          <w:color w:val="000000"/>
        </w:rPr>
        <w:t xml:space="preserve">Hit by falling objects – dislodged or unsecured objects or tools falling and hitting workers below. </w:t>
      </w:r>
    </w:p>
    <w:p w14:paraId="6CFBEEF1" w14:textId="77777777" w:rsidR="00727737" w:rsidRDefault="00000000">
      <w:pPr>
        <w:numPr>
          <w:ilvl w:val="0"/>
          <w:numId w:val="16"/>
        </w:numPr>
        <w:spacing w:after="0"/>
        <w:ind w:right="0"/>
        <w:rPr>
          <w:color w:val="000000"/>
        </w:rPr>
      </w:pPr>
      <w:r>
        <w:rPr>
          <w:color w:val="000000"/>
        </w:rPr>
        <w:t xml:space="preserve">Electrocution and fire – Damaged solar panels or short circuits in the array wiring create a risk of electrocution and fire when the panels generate electricity when exposed to sunlight. Accidental contact with an overhead service line is also an electrocution risk. </w:t>
      </w:r>
    </w:p>
    <w:p w14:paraId="180A8A77" w14:textId="77777777" w:rsidR="00727737" w:rsidRDefault="00000000">
      <w:pPr>
        <w:numPr>
          <w:ilvl w:val="0"/>
          <w:numId w:val="16"/>
        </w:numPr>
        <w:spacing w:after="0"/>
        <w:ind w:right="0"/>
        <w:rPr>
          <w:color w:val="000000"/>
        </w:rPr>
      </w:pPr>
      <w:r>
        <w:rPr>
          <w:color w:val="000000"/>
        </w:rPr>
        <w:t>Heat stress – exposure to the sun combined with the radiant heat from the roof increases the risk of heat stress for workers on the roof. Asbestos exposure – Older buildings built before the 1990’s are likely to contain asbestos. Eaves and switchboard panels are common locations for asbestos in the Northern Territory.</w:t>
      </w:r>
    </w:p>
    <w:p w14:paraId="676EB4E5" w14:textId="77777777" w:rsidR="00727737" w:rsidRDefault="00000000">
      <w:pPr>
        <w:spacing w:after="0"/>
        <w:ind w:right="0"/>
        <w:rPr>
          <w:b/>
          <w:color w:val="000000"/>
        </w:rPr>
      </w:pPr>
      <w:r>
        <w:rPr>
          <w:color w:val="000000"/>
        </w:rPr>
        <w:t>2.</w:t>
      </w:r>
      <w:r>
        <w:rPr>
          <w:b/>
          <w:color w:val="000000"/>
        </w:rPr>
        <w:t xml:space="preserve"> Working on the ground </w:t>
      </w:r>
    </w:p>
    <w:p w14:paraId="1D1EA1D7" w14:textId="77777777" w:rsidR="00727737" w:rsidRDefault="00000000">
      <w:pPr>
        <w:numPr>
          <w:ilvl w:val="0"/>
          <w:numId w:val="4"/>
        </w:numPr>
        <w:spacing w:after="0"/>
        <w:ind w:right="0"/>
        <w:rPr>
          <w:color w:val="000000"/>
        </w:rPr>
      </w:pPr>
      <w:r>
        <w:rPr>
          <w:color w:val="000000"/>
        </w:rPr>
        <w:t>Hit by falling objects – dislodged or unsecured objects or tools falling from the roof.</w:t>
      </w:r>
    </w:p>
    <w:p w14:paraId="3B33771E" w14:textId="77777777" w:rsidR="00727737" w:rsidRDefault="00000000">
      <w:pPr>
        <w:numPr>
          <w:ilvl w:val="0"/>
          <w:numId w:val="4"/>
        </w:numPr>
        <w:spacing w:after="0"/>
        <w:ind w:right="0"/>
        <w:rPr>
          <w:color w:val="000000"/>
        </w:rPr>
      </w:pPr>
      <w:r>
        <w:rPr>
          <w:color w:val="000000"/>
        </w:rPr>
        <w:t>Slips and falls from unsecured ladders</w:t>
      </w:r>
    </w:p>
    <w:p w14:paraId="406D94B6" w14:textId="77777777" w:rsidR="00727737" w:rsidRDefault="00000000">
      <w:pPr>
        <w:numPr>
          <w:ilvl w:val="0"/>
          <w:numId w:val="4"/>
        </w:numPr>
        <w:spacing w:after="0"/>
        <w:ind w:right="0"/>
        <w:rPr>
          <w:color w:val="000000"/>
        </w:rPr>
      </w:pPr>
      <w:r>
        <w:rPr>
          <w:color w:val="000000"/>
        </w:rPr>
        <w:t xml:space="preserve">Hit by mobile plant – mobile plants such as cranes or elevated work platforms colliding with workers. </w:t>
      </w:r>
    </w:p>
    <w:p w14:paraId="46EEE9A7" w14:textId="77777777" w:rsidR="00727737" w:rsidRDefault="00000000">
      <w:pPr>
        <w:numPr>
          <w:ilvl w:val="0"/>
          <w:numId w:val="4"/>
        </w:numPr>
        <w:spacing w:after="0"/>
        <w:ind w:right="0"/>
        <w:rPr>
          <w:color w:val="000000"/>
        </w:rPr>
      </w:pPr>
      <w:r>
        <w:rPr>
          <w:color w:val="000000"/>
        </w:rPr>
        <w:t>Asbestos exposure.[4]</w:t>
      </w:r>
    </w:p>
    <w:p w14:paraId="568675D9" w14:textId="77777777" w:rsidR="00727737" w:rsidRDefault="00727737">
      <w:pPr>
        <w:spacing w:after="0"/>
        <w:ind w:left="720" w:right="0"/>
        <w:rPr>
          <w:color w:val="000000"/>
        </w:rPr>
      </w:pPr>
    </w:p>
    <w:p w14:paraId="7F63D8ED" w14:textId="77777777" w:rsidR="00727737" w:rsidRDefault="00000000">
      <w:pPr>
        <w:spacing w:after="0"/>
        <w:ind w:right="0"/>
        <w:rPr>
          <w:color w:val="000000"/>
        </w:rPr>
      </w:pPr>
      <w:r>
        <w:rPr>
          <w:color w:val="000000"/>
        </w:rPr>
        <w:t xml:space="preserve">The </w:t>
      </w:r>
      <w:proofErr w:type="gramStart"/>
      <w:r>
        <w:rPr>
          <w:color w:val="000000"/>
        </w:rPr>
        <w:t>Health</w:t>
      </w:r>
      <w:proofErr w:type="gramEnd"/>
      <w:r>
        <w:rPr>
          <w:color w:val="000000"/>
        </w:rPr>
        <w:t xml:space="preserve"> and safety standards in solar panel maintenance and installation are followed by the standards—IEC 61730, IEC 62446 and IEC 60364—which are part of the International Electrotechnical Commission (IEC) standards.</w:t>
      </w:r>
    </w:p>
    <w:p w14:paraId="3485E6CC" w14:textId="77777777" w:rsidR="00727737" w:rsidRDefault="00000000">
      <w:pPr>
        <w:spacing w:after="0"/>
        <w:ind w:right="0"/>
        <w:rPr>
          <w:b/>
          <w:color w:val="000000"/>
        </w:rPr>
      </w:pPr>
      <w:r>
        <w:rPr>
          <w:color w:val="000000"/>
        </w:rPr>
        <w:tab/>
        <w:t>1.</w:t>
      </w:r>
      <w:r>
        <w:rPr>
          <w:b/>
          <w:color w:val="000000"/>
        </w:rPr>
        <w:t xml:space="preserve"> IEC 61730</w:t>
      </w:r>
      <w:r>
        <w:rPr>
          <w:color w:val="000000"/>
        </w:rPr>
        <w:t xml:space="preserve">: </w:t>
      </w:r>
      <w:r>
        <w:rPr>
          <w:b/>
          <w:color w:val="000000"/>
        </w:rPr>
        <w:t>Photovoltaic (PV) Module Safety Qualification</w:t>
      </w:r>
    </w:p>
    <w:p w14:paraId="0FF3ECC4" w14:textId="77777777" w:rsidR="00727737" w:rsidRDefault="00000000">
      <w:pPr>
        <w:spacing w:after="0"/>
        <w:ind w:right="0"/>
        <w:rPr>
          <w:color w:val="000000"/>
        </w:rPr>
      </w:pPr>
      <w:r>
        <w:rPr>
          <w:color w:val="000000"/>
        </w:rPr>
        <w:t>IEC 61730 focuses on the safety aspects of PV modules. It provides requirements for constructing, testing, and marking PV modules to ensure their safe operation. This standard covers various potential hazards, including electrical shock, fire, and mechanical stress, and sets criteria for testing and certification.</w:t>
      </w:r>
    </w:p>
    <w:p w14:paraId="1BCEC7B7" w14:textId="77777777" w:rsidR="00727737" w:rsidRDefault="00000000">
      <w:pPr>
        <w:spacing w:after="0"/>
        <w:ind w:right="0"/>
        <w:rPr>
          <w:b/>
          <w:color w:val="000000"/>
        </w:rPr>
      </w:pPr>
      <w:r>
        <w:rPr>
          <w:color w:val="000000"/>
        </w:rPr>
        <w:tab/>
        <w:t>2</w:t>
      </w:r>
      <w:r>
        <w:rPr>
          <w:b/>
          <w:color w:val="000000"/>
        </w:rPr>
        <w:t>.IEC 62446: Grid-connected Photovoltaic Systems – Minimum Requirements for System Documentation, Commissioning Tests, and Inspection</w:t>
      </w:r>
    </w:p>
    <w:p w14:paraId="66D066E8" w14:textId="77777777" w:rsidR="00727737" w:rsidRDefault="00000000">
      <w:pPr>
        <w:spacing w:after="0"/>
        <w:ind w:right="0"/>
        <w:rPr>
          <w:color w:val="000000"/>
        </w:rPr>
      </w:pPr>
      <w:r>
        <w:rPr>
          <w:color w:val="000000"/>
        </w:rPr>
        <w:t>IEC 62446 addresses grid-connected PV systems' documentation, commissioning tests, and inspection requirements. It provides guidelines for system design documentation, installation, commissioning tests, and periodic inspection to ensure the safe and reliable operation of the system.</w:t>
      </w:r>
    </w:p>
    <w:p w14:paraId="6408D1A8" w14:textId="77777777" w:rsidR="00727737" w:rsidRDefault="00000000">
      <w:pPr>
        <w:spacing w:after="0"/>
        <w:ind w:right="0"/>
        <w:rPr>
          <w:b/>
          <w:color w:val="000000"/>
        </w:rPr>
      </w:pPr>
      <w:r>
        <w:rPr>
          <w:color w:val="000000"/>
        </w:rPr>
        <w:tab/>
        <w:t>3.</w:t>
      </w:r>
      <w:r>
        <w:rPr>
          <w:b/>
          <w:color w:val="000000"/>
        </w:rPr>
        <w:t xml:space="preserve"> IEC 60364-7-712:2017 – Electrical Installations of Buildings – Requirements for Solar Photovoltaic (PV) Power Supply Systems</w:t>
      </w:r>
    </w:p>
    <w:p w14:paraId="41601224" w14:textId="77777777" w:rsidR="00727737" w:rsidRDefault="00000000">
      <w:pPr>
        <w:spacing w:after="0"/>
        <w:ind w:right="0"/>
        <w:rPr>
          <w:color w:val="000000"/>
        </w:rPr>
      </w:pPr>
      <w:r>
        <w:rPr>
          <w:color w:val="000000"/>
        </w:rPr>
        <w:t>Part of the IEC 60364 series, this standard provides specific requirements for the safety of electrical installations involving PV systems.[5]</w:t>
      </w:r>
    </w:p>
    <w:p w14:paraId="1DA4CF70" w14:textId="77777777" w:rsidR="00727737" w:rsidRDefault="00000000" w:rsidP="00BD416D">
      <w:pPr>
        <w:pStyle w:val="Heading2"/>
        <w:numPr>
          <w:ilvl w:val="0"/>
          <w:numId w:val="0"/>
        </w:numPr>
        <w:spacing w:after="240"/>
        <w:ind w:right="0"/>
        <w:rPr>
          <w:color w:val="000000"/>
        </w:rPr>
      </w:pPr>
      <w:bookmarkStart w:id="15" w:name="_Toc192002915"/>
      <w:r>
        <w:rPr>
          <w:color w:val="000000"/>
        </w:rPr>
        <w:t>3.</w:t>
      </w:r>
      <w:proofErr w:type="gramStart"/>
      <w:r>
        <w:rPr>
          <w:color w:val="000000"/>
        </w:rPr>
        <w:t>3.Regulations</w:t>
      </w:r>
      <w:proofErr w:type="gramEnd"/>
      <w:r>
        <w:rPr>
          <w:color w:val="000000"/>
        </w:rPr>
        <w:t xml:space="preserve"> concerning the deployment of AI and IoT systems in energy sectors</w:t>
      </w:r>
      <w:bookmarkEnd w:id="15"/>
    </w:p>
    <w:p w14:paraId="56B6C5CA" w14:textId="77777777" w:rsidR="00727737" w:rsidRDefault="00000000">
      <w:pPr>
        <w:shd w:val="clear" w:color="auto" w:fill="FFFFFF"/>
        <w:spacing w:after="120"/>
        <w:ind w:right="0"/>
        <w:rPr>
          <w:color w:val="000000"/>
        </w:rPr>
      </w:pPr>
      <w:r>
        <w:rPr>
          <w:color w:val="000000"/>
        </w:rPr>
        <w:t>To adapt to changing environmental conditions, AI-enhanced control strategies are implemented in renewable energy power plants. Whether it’s adjusting optimizing the operation of concentrated solar power systems, AI algorithms enhance the overall performance and efficiency of renewable energy facilities.</w:t>
      </w:r>
    </w:p>
    <w:p w14:paraId="3CCEC8E0" w14:textId="77777777" w:rsidR="00727737" w:rsidRDefault="00000000">
      <w:pPr>
        <w:shd w:val="clear" w:color="auto" w:fill="FFFFFF"/>
        <w:spacing w:after="120"/>
        <w:ind w:right="0"/>
        <w:rPr>
          <w:color w:val="000000"/>
        </w:rPr>
      </w:pPr>
      <w:r>
        <w:rPr>
          <w:color w:val="000000"/>
        </w:rPr>
        <w:lastRenderedPageBreak/>
        <w:t xml:space="preserve">Advanced control strategies for power plants have been extensively studied to enhance power production facilities' stability, efficiency, and overall performance. The key themes and findings from prior research on advanced control strategies for power plants are presented here. The Model predictive control (MPC) in solar power plants uses dynamic models to predict the </w:t>
      </w:r>
      <w:proofErr w:type="spellStart"/>
      <w:r>
        <w:rPr>
          <w:color w:val="000000"/>
        </w:rPr>
        <w:t>behavior</w:t>
      </w:r>
      <w:proofErr w:type="spellEnd"/>
      <w:r>
        <w:rPr>
          <w:color w:val="000000"/>
        </w:rPr>
        <w:t xml:space="preserve"> of the power plant and optimize control inputs over a specified time horizon. This approach is employed for improved setpoint tracking, disturbance rejection, and optimization of various performance parameters. Adaptive control strategies are investigated to address uncertainties and parameter variations in power plant systems.</w:t>
      </w:r>
    </w:p>
    <w:p w14:paraId="63FD01D4" w14:textId="77777777" w:rsidR="00727737" w:rsidRDefault="00000000">
      <w:pPr>
        <w:shd w:val="clear" w:color="auto" w:fill="FFFFFF"/>
        <w:spacing w:after="120"/>
        <w:ind w:right="0"/>
        <w:rPr>
          <w:color w:val="000000"/>
        </w:rPr>
      </w:pPr>
      <w:r>
        <w:rPr>
          <w:color w:val="000000"/>
        </w:rPr>
        <w:t>Integrating AI in renewable energy requires strategic policymaking to support its effective deployment. Policymakers must allocate resources for AI research, promote collaboration, and incentivize partnerships in renewable energy development. Standardized data formats and transparency guidelines are essential for data sharing and trust-building. Financial incentives and regulatory sandboxes encourage AI adoption, while robust cybersecurity measures safeguard systems. Investment in workforce education ensures skilled professionals in AI applications. International collaboration addresses global challenges and promotes inclusivity. Policymakers must prioritize equity and regularly update regulations to reflect technological advancements. Ultimately, effective policymaking fosters AI’s responsible integration into renewable energy, contributing to a sustainable future.</w:t>
      </w:r>
    </w:p>
    <w:p w14:paraId="7C3C14A7" w14:textId="77777777" w:rsidR="00727737" w:rsidRDefault="00000000">
      <w:pPr>
        <w:shd w:val="clear" w:color="auto" w:fill="FFFFFF"/>
        <w:spacing w:after="120"/>
        <w:ind w:right="0"/>
        <w:rPr>
          <w:color w:val="000000"/>
        </w:rPr>
      </w:pPr>
      <w:proofErr w:type="spellStart"/>
      <w:r>
        <w:rPr>
          <w:color w:val="000000"/>
        </w:rPr>
        <w:t>Analyzing</w:t>
      </w:r>
      <w:proofErr w:type="spellEnd"/>
      <w:r>
        <w:rPr>
          <w:color w:val="000000"/>
        </w:rPr>
        <w:t xml:space="preserve"> the policy and regulatory landscapes impacting AI deployment in renewable energy reveals critical opportunities and challenges in this emerging field. Many nations, including the EU, have set ambitious renewable energy targets, with significant investments reaching $303.5 billion globally in 2020. Government incentives play a major role in spurring these investments and supporting renewable energy deployment. Data privacy regulations like the General Data Protection Regulation (GDPR) and California Consumer Privacy Act (CCPA) further strengthen protections, with noncompliance resulting in substantial fines, such as €158 million in GDPR fines in 2020. Research has shown that various policy instruments, such as grants, tax incentives, and policy support, positively influence renewable energy strength. However, barriers such as unstable energy policies and inadequately equipped governmental agencies hinder deploying renewable energy projects.</w:t>
      </w:r>
    </w:p>
    <w:p w14:paraId="27F1476D" w14:textId="77777777" w:rsidR="00727737" w:rsidRDefault="00000000">
      <w:pPr>
        <w:shd w:val="clear" w:color="auto" w:fill="FFFFFF"/>
        <w:spacing w:after="120"/>
        <w:ind w:right="0"/>
        <w:rPr>
          <w:color w:val="000000"/>
        </w:rPr>
      </w:pPr>
      <w:r>
        <w:rPr>
          <w:color w:val="000000"/>
        </w:rPr>
        <w:t xml:space="preserve">Additionally, the role of institutions, agencies, and infrastructure requirements at the regional level significantly influences renewable energy deployment. Studies have also highlighted the importance of regulatory frameworks and support mechanisms for financing renewable energy development. Financial incentives, including tax benefits, subsidies, and low-interest loans, are essential for promoting the deployment of renewable energies. Furthermore, the deployment of renewables can be decoupled from state affluence with falling prices, indicating a shift in policy predictors for renewable energy progress. The interplay between policy, regulation, and incentives is crucial for driving AI deployment in renewable energy. Understanding the impact of different policy tools, regulatory landscapes, and financial incentives is essential for overcoming barriers and seizing opportunities in this evolving field. Ethical guidelines from organizations like IEEE and the Partnership on AI emphasize fairness, transparency, and accountability, which are vital for brand reputation and consumer trust. However, implementing ethical AI practices requires investment in training and compliance. Regulatory frameworks are </w:t>
      </w:r>
      <w:r>
        <w:rPr>
          <w:color w:val="000000"/>
        </w:rPr>
        <w:lastRenderedPageBreak/>
        <w:t>evolving, with challenges around liability and safety potentially deterring investment and innovation. Clear regulations are crucial to attract investment and drive growth. Grid integration policies promoting intelligent grid technologies and DR programs are evolving to accommodate the rise of renewables. Investments in innovative grid technologies, like AI-enabled grid management systems, are essential for optimizing energy distribution.[6]</w:t>
      </w:r>
    </w:p>
    <w:p w14:paraId="6E4DE4B4" w14:textId="77777777" w:rsidR="00727737" w:rsidRDefault="00000000" w:rsidP="00BD416D">
      <w:pPr>
        <w:pStyle w:val="Heading2"/>
        <w:numPr>
          <w:ilvl w:val="0"/>
          <w:numId w:val="0"/>
        </w:numPr>
        <w:spacing w:after="240"/>
        <w:ind w:right="0"/>
        <w:rPr>
          <w:color w:val="000000"/>
        </w:rPr>
      </w:pPr>
      <w:bookmarkStart w:id="16" w:name="_Toc192002916"/>
      <w:r>
        <w:rPr>
          <w:color w:val="000000"/>
        </w:rPr>
        <w:t>3.4.</w:t>
      </w:r>
      <w:hyperlink w:anchor="_heading=h.src9x66fiwog">
        <w:r>
          <w:rPr>
            <w:color w:val="000000"/>
          </w:rPr>
          <w:t>Compliance with environmental laws that govern solar farm operations and energy production</w:t>
        </w:r>
        <w:bookmarkEnd w:id="16"/>
      </w:hyperlink>
    </w:p>
    <w:p w14:paraId="3D4BD1DD" w14:textId="77777777" w:rsidR="00727737" w:rsidRDefault="00000000">
      <w:pPr>
        <w:ind w:right="-10"/>
        <w:rPr>
          <w:color w:val="000000"/>
        </w:rPr>
      </w:pPr>
      <w:r>
        <w:rPr>
          <w:color w:val="000000"/>
        </w:rPr>
        <w:t>Regulatory compliance in renewable energy projects such as solar plants is crucial for ensuring adherence to laws and regulations that govern the development, construction, and operation of such projects.</w:t>
      </w:r>
    </w:p>
    <w:p w14:paraId="20BEEA85" w14:textId="77777777" w:rsidR="00727737" w:rsidRDefault="00000000">
      <w:pPr>
        <w:ind w:right="-10"/>
        <w:rPr>
          <w:color w:val="000000"/>
        </w:rPr>
      </w:pPr>
      <w:r>
        <w:rPr>
          <w:color w:val="000000"/>
        </w:rPr>
        <w:t>Importance of Permits: In the EU, obtaining permits is critical to demonstrate compliance with environmental regulations, planning laws, and energy sector aims. These permits ensure that renewable energy projects meet the required standards for environmental protection and sustainable development.</w:t>
      </w:r>
    </w:p>
    <w:p w14:paraId="5737C4FC" w14:textId="77777777" w:rsidR="00727737" w:rsidRDefault="00000000">
      <w:pPr>
        <w:numPr>
          <w:ilvl w:val="0"/>
          <w:numId w:val="26"/>
        </w:numPr>
        <w:spacing w:after="0"/>
        <w:ind w:right="-10"/>
        <w:rPr>
          <w:color w:val="000000"/>
        </w:rPr>
      </w:pPr>
      <w:r>
        <w:rPr>
          <w:color w:val="000000"/>
        </w:rPr>
        <w:t>Regulatory Bodies: Regulatory oversight in the EU involves agencies such as the European Environment Agency (EEA</w:t>
      </w:r>
      <w:proofErr w:type="gramStart"/>
      <w:r>
        <w:rPr>
          <w:color w:val="000000"/>
        </w:rPr>
        <w:t>),,</w:t>
      </w:r>
      <w:proofErr w:type="gramEnd"/>
      <w:r>
        <w:rPr>
          <w:color w:val="000000"/>
        </w:rPr>
        <w:t xml:space="preserve"> and the Office for Environmental Protection (OEP). These bodies enforce regulations related to emissions, land use, and wildlife protection, among others, impacting renewable energy project development.</w:t>
      </w:r>
    </w:p>
    <w:p w14:paraId="118CDB21" w14:textId="77777777" w:rsidR="00727737" w:rsidRDefault="00000000">
      <w:pPr>
        <w:numPr>
          <w:ilvl w:val="0"/>
          <w:numId w:val="26"/>
        </w:numPr>
        <w:spacing w:after="0"/>
        <w:ind w:right="-10"/>
        <w:rPr>
          <w:color w:val="000000"/>
        </w:rPr>
      </w:pPr>
      <w:r>
        <w:rPr>
          <w:color w:val="000000"/>
        </w:rPr>
        <w:t xml:space="preserve">Compliance Management Software: Compliance management solutions tailored for the EU markets should address specific regulatory requirements and reporting standards set forth by bodies like the European Commission). Customised tools can streamline compliance efforts and ensure alignment with regional laws. </w:t>
      </w:r>
      <w:proofErr w:type="spellStart"/>
      <w:r>
        <w:rPr>
          <w:color w:val="000000"/>
        </w:rPr>
        <w:t>Projectfusion</w:t>
      </w:r>
      <w:proofErr w:type="spellEnd"/>
      <w:r>
        <w:rPr>
          <w:color w:val="000000"/>
        </w:rPr>
        <w:t xml:space="preserve"> can help you meet your compliance goals, thanks to our ISO27001 &amp; </w:t>
      </w:r>
      <w:proofErr w:type="spellStart"/>
      <w:r>
        <w:rPr>
          <w:color w:val="000000"/>
        </w:rPr>
        <w:t>CyberEssentials</w:t>
      </w:r>
      <w:proofErr w:type="spellEnd"/>
      <w:r>
        <w:rPr>
          <w:color w:val="000000"/>
        </w:rPr>
        <w:t xml:space="preserve"> certified platform that makes collaboration </w:t>
      </w:r>
      <w:proofErr w:type="gramStart"/>
      <w:r>
        <w:rPr>
          <w:color w:val="000000"/>
        </w:rPr>
        <w:t>easy, and</w:t>
      </w:r>
      <w:proofErr w:type="gramEnd"/>
      <w:r>
        <w:rPr>
          <w:color w:val="000000"/>
        </w:rPr>
        <w:t xml:space="preserve"> keeps your confidential documents secure.</w:t>
      </w:r>
    </w:p>
    <w:p w14:paraId="63BF43D3" w14:textId="77777777" w:rsidR="00727737" w:rsidRDefault="00000000">
      <w:pPr>
        <w:numPr>
          <w:ilvl w:val="0"/>
          <w:numId w:val="26"/>
        </w:numPr>
        <w:ind w:right="-10"/>
        <w:rPr>
          <w:color w:val="000000"/>
        </w:rPr>
      </w:pPr>
      <w:r>
        <w:rPr>
          <w:color w:val="000000"/>
        </w:rPr>
        <w:t xml:space="preserve">Best Practices: Effective practices for navigating regulatory hurdles in the EU include early engagement with local communities and stakeholders, conducting thorough environmental impact assessments, and adhering to standards outlined in directives such as the EU Renewable Energy Directive </w:t>
      </w:r>
      <w:proofErr w:type="gramStart"/>
      <w:r>
        <w:rPr>
          <w:color w:val="000000"/>
        </w:rPr>
        <w:t>and.</w:t>
      </w:r>
      <w:proofErr w:type="gramEnd"/>
      <w:r>
        <w:rPr>
          <w:color w:val="000000"/>
        </w:rPr>
        <w:t xml:space="preserve"> Flexibility and adaptability are crucial for addressing evolving regulatory landscapes, both now and in the future.[7]</w:t>
      </w:r>
    </w:p>
    <w:p w14:paraId="3B99D064" w14:textId="77777777" w:rsidR="00727737" w:rsidRDefault="00000000" w:rsidP="00BD416D">
      <w:pPr>
        <w:pStyle w:val="Heading1"/>
        <w:numPr>
          <w:ilvl w:val="0"/>
          <w:numId w:val="0"/>
        </w:numPr>
        <w:ind w:left="720" w:hanging="720"/>
        <w:rPr>
          <w:color w:val="000000"/>
        </w:rPr>
      </w:pPr>
      <w:bookmarkStart w:id="17" w:name="_Toc192002917"/>
      <w:r>
        <w:rPr>
          <w:color w:val="000000"/>
        </w:rPr>
        <w:t>4.Regulatory Landscape for Pilot Sites</w:t>
      </w:r>
      <w:bookmarkEnd w:id="17"/>
    </w:p>
    <w:p w14:paraId="16DC64E5" w14:textId="77777777" w:rsidR="00727737" w:rsidRDefault="00000000">
      <w:pPr>
        <w:spacing w:after="0"/>
        <w:ind w:right="0"/>
        <w:rPr>
          <w:b/>
          <w:color w:val="000000"/>
        </w:rPr>
      </w:pPr>
      <w:r>
        <w:rPr>
          <w:b/>
          <w:color w:val="000000"/>
        </w:rPr>
        <w:t>1.Regulatory Landscape for Turkey Pilot Site</w:t>
      </w:r>
    </w:p>
    <w:p w14:paraId="2017737E" w14:textId="77777777" w:rsidR="00727737" w:rsidRDefault="00000000">
      <w:pPr>
        <w:ind w:right="-10"/>
        <w:rPr>
          <w:color w:val="000000"/>
        </w:rPr>
      </w:pPr>
      <w:r>
        <w:rPr>
          <w:color w:val="000000"/>
        </w:rPr>
        <w:t xml:space="preserve">The Turkey requirements </w:t>
      </w:r>
      <w:proofErr w:type="gramStart"/>
      <w:r>
        <w:rPr>
          <w:color w:val="000000"/>
        </w:rPr>
        <w:t>follows</w:t>
      </w:r>
      <w:proofErr w:type="gramEnd"/>
      <w:r>
        <w:rPr>
          <w:color w:val="000000"/>
        </w:rPr>
        <w:t xml:space="preserve"> the standards—</w:t>
      </w:r>
      <w:r>
        <w:rPr>
          <w:b/>
          <w:color w:val="000000"/>
        </w:rPr>
        <w:t>IEC 61730</w:t>
      </w:r>
      <w:r>
        <w:rPr>
          <w:color w:val="000000"/>
        </w:rPr>
        <w:t xml:space="preserve">, </w:t>
      </w:r>
      <w:r>
        <w:rPr>
          <w:b/>
          <w:color w:val="000000"/>
        </w:rPr>
        <w:t>IEC 61215</w:t>
      </w:r>
      <w:r>
        <w:rPr>
          <w:color w:val="000000"/>
        </w:rPr>
        <w:t xml:space="preserve">, and </w:t>
      </w:r>
      <w:r>
        <w:rPr>
          <w:b/>
          <w:color w:val="000000"/>
        </w:rPr>
        <w:t>IEC 61446</w:t>
      </w:r>
      <w:r>
        <w:rPr>
          <w:color w:val="000000"/>
        </w:rPr>
        <w:t>—which are part of the International Electrotechnical Commission (IEC) standards for the performance, safety, and quality of photovoltaic (PV) modules.</w:t>
      </w:r>
    </w:p>
    <w:p w14:paraId="3EB67B7F" w14:textId="77777777" w:rsidR="00727737" w:rsidRDefault="00000000">
      <w:pPr>
        <w:numPr>
          <w:ilvl w:val="0"/>
          <w:numId w:val="13"/>
        </w:numPr>
        <w:spacing w:before="240" w:after="0"/>
        <w:ind w:right="0"/>
        <w:rPr>
          <w:color w:val="000000"/>
        </w:rPr>
      </w:pPr>
      <w:r>
        <w:rPr>
          <w:b/>
          <w:color w:val="000000"/>
        </w:rPr>
        <w:t>IEC 61730</w:t>
      </w:r>
      <w:r>
        <w:rPr>
          <w:color w:val="000000"/>
        </w:rPr>
        <w:t xml:space="preserve">: </w:t>
      </w:r>
      <w:r>
        <w:rPr>
          <w:b/>
          <w:color w:val="000000"/>
        </w:rPr>
        <w:t>Photovoltaic (PV) Module Safety Qualification</w:t>
      </w:r>
    </w:p>
    <w:p w14:paraId="79AC7EFD" w14:textId="77777777" w:rsidR="00727737" w:rsidRDefault="00000000">
      <w:pPr>
        <w:numPr>
          <w:ilvl w:val="1"/>
          <w:numId w:val="13"/>
        </w:numPr>
        <w:spacing w:after="0"/>
        <w:ind w:right="0"/>
        <w:rPr>
          <w:color w:val="000000"/>
        </w:rPr>
      </w:pPr>
      <w:r>
        <w:rPr>
          <w:b/>
          <w:color w:val="000000"/>
        </w:rPr>
        <w:t>Purpose</w:t>
      </w:r>
      <w:r>
        <w:rPr>
          <w:color w:val="000000"/>
        </w:rPr>
        <w:t>: Defines the safety requirements and testing methods for PV modules to ensure they operate safely throughout their expected lifetimes.</w:t>
      </w:r>
    </w:p>
    <w:p w14:paraId="6990B787" w14:textId="77777777" w:rsidR="00727737" w:rsidRDefault="00000000">
      <w:pPr>
        <w:numPr>
          <w:ilvl w:val="1"/>
          <w:numId w:val="13"/>
        </w:numPr>
        <w:spacing w:after="0"/>
        <w:ind w:right="0"/>
        <w:rPr>
          <w:color w:val="000000"/>
        </w:rPr>
      </w:pPr>
      <w:r>
        <w:rPr>
          <w:b/>
          <w:color w:val="000000"/>
        </w:rPr>
        <w:t>Scope</w:t>
      </w:r>
      <w:r>
        <w:rPr>
          <w:color w:val="000000"/>
        </w:rPr>
        <w:t>: Covers aspects such as electrical, mechanical, and environmental safety. IEC 61730 is divided into two parts:</w:t>
      </w:r>
    </w:p>
    <w:p w14:paraId="6FDDAD8D" w14:textId="77777777" w:rsidR="00727737" w:rsidRDefault="00000000">
      <w:pPr>
        <w:numPr>
          <w:ilvl w:val="2"/>
          <w:numId w:val="13"/>
        </w:numPr>
        <w:spacing w:after="0"/>
        <w:ind w:right="0"/>
        <w:rPr>
          <w:color w:val="000000"/>
        </w:rPr>
      </w:pPr>
      <w:r>
        <w:rPr>
          <w:b/>
          <w:color w:val="000000"/>
        </w:rPr>
        <w:lastRenderedPageBreak/>
        <w:t>IEC 61730-1</w:t>
      </w:r>
      <w:r>
        <w:rPr>
          <w:color w:val="000000"/>
        </w:rPr>
        <w:t xml:space="preserve">: Focuses on </w:t>
      </w:r>
      <w:r>
        <w:rPr>
          <w:b/>
          <w:color w:val="000000"/>
        </w:rPr>
        <w:t>construction requirements</w:t>
      </w:r>
      <w:r>
        <w:rPr>
          <w:color w:val="000000"/>
        </w:rPr>
        <w:t>, ensuring that the PV module is constructed in a way that minimizes the risk of electrical shock, fire, and injury.</w:t>
      </w:r>
    </w:p>
    <w:p w14:paraId="2657EF90" w14:textId="77777777" w:rsidR="00727737" w:rsidRDefault="00000000">
      <w:pPr>
        <w:numPr>
          <w:ilvl w:val="2"/>
          <w:numId w:val="13"/>
        </w:numPr>
        <w:spacing w:after="0"/>
        <w:ind w:right="0"/>
        <w:rPr>
          <w:color w:val="000000"/>
        </w:rPr>
      </w:pPr>
      <w:r>
        <w:rPr>
          <w:b/>
          <w:color w:val="000000"/>
        </w:rPr>
        <w:t>IEC 61730-2</w:t>
      </w:r>
      <w:r>
        <w:rPr>
          <w:color w:val="000000"/>
        </w:rPr>
        <w:t xml:space="preserve">: Provides </w:t>
      </w:r>
      <w:r>
        <w:rPr>
          <w:b/>
          <w:color w:val="000000"/>
        </w:rPr>
        <w:t>testing requirements</w:t>
      </w:r>
      <w:r>
        <w:rPr>
          <w:color w:val="000000"/>
        </w:rPr>
        <w:t xml:space="preserve"> to validate compliance with safety requirements.</w:t>
      </w:r>
    </w:p>
    <w:p w14:paraId="168E2C2D" w14:textId="77777777" w:rsidR="00727737" w:rsidRDefault="00000000">
      <w:pPr>
        <w:numPr>
          <w:ilvl w:val="1"/>
          <w:numId w:val="13"/>
        </w:numPr>
        <w:spacing w:after="0"/>
        <w:ind w:right="0"/>
        <w:rPr>
          <w:color w:val="000000"/>
        </w:rPr>
      </w:pPr>
      <w:r>
        <w:rPr>
          <w:b/>
          <w:color w:val="000000"/>
        </w:rPr>
        <w:t>Application</w:t>
      </w:r>
      <w:r>
        <w:rPr>
          <w:color w:val="000000"/>
        </w:rPr>
        <w:t>: Widely used by manufacturers to certify PV modules for both residential and commercial use, ensuring compliance with global safety standards.</w:t>
      </w:r>
    </w:p>
    <w:p w14:paraId="67416B0D" w14:textId="77777777" w:rsidR="00727737" w:rsidRDefault="00000000">
      <w:pPr>
        <w:numPr>
          <w:ilvl w:val="0"/>
          <w:numId w:val="13"/>
        </w:numPr>
        <w:spacing w:after="0"/>
        <w:ind w:right="0"/>
        <w:rPr>
          <w:color w:val="000000"/>
        </w:rPr>
      </w:pPr>
      <w:r>
        <w:rPr>
          <w:b/>
          <w:color w:val="000000"/>
        </w:rPr>
        <w:t>IEC 61215</w:t>
      </w:r>
      <w:r>
        <w:rPr>
          <w:color w:val="000000"/>
        </w:rPr>
        <w:t xml:space="preserve">: </w:t>
      </w:r>
      <w:r>
        <w:rPr>
          <w:b/>
          <w:color w:val="000000"/>
        </w:rPr>
        <w:t>Photovoltaic (PV) Module Performance Testing</w:t>
      </w:r>
    </w:p>
    <w:p w14:paraId="53B4AE1C" w14:textId="77777777" w:rsidR="00727737" w:rsidRDefault="00000000">
      <w:pPr>
        <w:numPr>
          <w:ilvl w:val="1"/>
          <w:numId w:val="13"/>
        </w:numPr>
        <w:spacing w:after="0"/>
        <w:ind w:right="0"/>
        <w:rPr>
          <w:color w:val="000000"/>
        </w:rPr>
      </w:pPr>
      <w:r>
        <w:rPr>
          <w:b/>
          <w:color w:val="000000"/>
        </w:rPr>
        <w:t>Purpose</w:t>
      </w:r>
      <w:r>
        <w:rPr>
          <w:color w:val="000000"/>
        </w:rPr>
        <w:t xml:space="preserve">: Establishes requirements for the </w:t>
      </w:r>
      <w:r>
        <w:rPr>
          <w:b/>
          <w:color w:val="000000"/>
        </w:rPr>
        <w:t>design qualification</w:t>
      </w:r>
      <w:r>
        <w:rPr>
          <w:color w:val="000000"/>
        </w:rPr>
        <w:t xml:space="preserve"> and </w:t>
      </w:r>
      <w:r>
        <w:rPr>
          <w:b/>
          <w:color w:val="000000"/>
        </w:rPr>
        <w:t>type approval</w:t>
      </w:r>
      <w:r>
        <w:rPr>
          <w:color w:val="000000"/>
        </w:rPr>
        <w:t xml:space="preserve"> of crystalline silicon terrestrial PV modules.</w:t>
      </w:r>
    </w:p>
    <w:p w14:paraId="55884096" w14:textId="77777777" w:rsidR="00727737" w:rsidRDefault="00000000">
      <w:pPr>
        <w:numPr>
          <w:ilvl w:val="1"/>
          <w:numId w:val="13"/>
        </w:numPr>
        <w:spacing w:after="0"/>
        <w:ind w:right="0"/>
        <w:rPr>
          <w:color w:val="000000"/>
        </w:rPr>
      </w:pPr>
      <w:r>
        <w:rPr>
          <w:b/>
          <w:color w:val="000000"/>
        </w:rPr>
        <w:t>Scope</w:t>
      </w:r>
      <w:r>
        <w:rPr>
          <w:color w:val="000000"/>
        </w:rPr>
        <w:t>: Ensures that modules are capable of withstanding long-term exposure to outdoor conditions and various environmental stressors like humidity, temperature fluctuations, UV radiation, and mechanical load.</w:t>
      </w:r>
    </w:p>
    <w:p w14:paraId="6722A138" w14:textId="77777777" w:rsidR="00727737" w:rsidRDefault="00000000">
      <w:pPr>
        <w:numPr>
          <w:ilvl w:val="1"/>
          <w:numId w:val="13"/>
        </w:numPr>
        <w:spacing w:after="0"/>
        <w:ind w:right="0"/>
        <w:rPr>
          <w:color w:val="000000"/>
        </w:rPr>
      </w:pPr>
      <w:r>
        <w:rPr>
          <w:b/>
          <w:color w:val="000000"/>
        </w:rPr>
        <w:t>Testing</w:t>
      </w:r>
      <w:r>
        <w:rPr>
          <w:color w:val="000000"/>
        </w:rPr>
        <w:t>: Includes thermal cycling, humidity freeze, damp heat, UV exposure, and mechanical stress tests to simulate prolonged outdoor exposure and ensure durability.</w:t>
      </w:r>
    </w:p>
    <w:p w14:paraId="368FBC4F" w14:textId="77777777" w:rsidR="00727737" w:rsidRDefault="00000000">
      <w:pPr>
        <w:numPr>
          <w:ilvl w:val="1"/>
          <w:numId w:val="13"/>
        </w:numPr>
        <w:spacing w:after="0"/>
        <w:ind w:right="0"/>
        <w:rPr>
          <w:color w:val="000000"/>
        </w:rPr>
      </w:pPr>
      <w:r>
        <w:rPr>
          <w:b/>
          <w:color w:val="000000"/>
        </w:rPr>
        <w:t>Application</w:t>
      </w:r>
      <w:r>
        <w:rPr>
          <w:color w:val="000000"/>
        </w:rPr>
        <w:t>: Used to certify PV modules’ reliability and performance consistency under different environmental conditions, making it essential for product warranties and market approval.</w:t>
      </w:r>
    </w:p>
    <w:p w14:paraId="4337E9CE" w14:textId="77777777" w:rsidR="00727737" w:rsidRDefault="00000000">
      <w:pPr>
        <w:numPr>
          <w:ilvl w:val="0"/>
          <w:numId w:val="13"/>
        </w:numPr>
        <w:spacing w:after="0"/>
        <w:ind w:right="0"/>
        <w:rPr>
          <w:color w:val="000000"/>
        </w:rPr>
      </w:pPr>
      <w:r>
        <w:rPr>
          <w:b/>
          <w:color w:val="000000"/>
        </w:rPr>
        <w:t>IEC 61446</w:t>
      </w:r>
      <w:r>
        <w:rPr>
          <w:color w:val="000000"/>
        </w:rPr>
        <w:t xml:space="preserve">: </w:t>
      </w:r>
      <w:r>
        <w:rPr>
          <w:b/>
          <w:color w:val="000000"/>
        </w:rPr>
        <w:t>Guide for Assembly of Photovoltaic Arrays</w:t>
      </w:r>
    </w:p>
    <w:p w14:paraId="53116C23" w14:textId="77777777" w:rsidR="00727737" w:rsidRDefault="00000000">
      <w:pPr>
        <w:numPr>
          <w:ilvl w:val="1"/>
          <w:numId w:val="13"/>
        </w:numPr>
        <w:spacing w:after="0"/>
        <w:ind w:right="0"/>
        <w:rPr>
          <w:color w:val="000000"/>
        </w:rPr>
      </w:pPr>
      <w:r>
        <w:rPr>
          <w:b/>
          <w:color w:val="000000"/>
        </w:rPr>
        <w:t>Purpose</w:t>
      </w:r>
      <w:r>
        <w:rPr>
          <w:color w:val="000000"/>
        </w:rPr>
        <w:t>: Provides guidance on the assembly and configuration of PV modules in arrays to ensure reliable operation.</w:t>
      </w:r>
    </w:p>
    <w:p w14:paraId="5E6E4E8F" w14:textId="77777777" w:rsidR="00727737" w:rsidRDefault="00000000">
      <w:pPr>
        <w:numPr>
          <w:ilvl w:val="1"/>
          <w:numId w:val="13"/>
        </w:numPr>
        <w:spacing w:after="0"/>
        <w:ind w:right="0"/>
        <w:rPr>
          <w:color w:val="000000"/>
        </w:rPr>
      </w:pPr>
      <w:r>
        <w:rPr>
          <w:b/>
          <w:color w:val="000000"/>
        </w:rPr>
        <w:t>Scope</w:t>
      </w:r>
      <w:r>
        <w:rPr>
          <w:color w:val="000000"/>
        </w:rPr>
        <w:t>: Primarily focuses on installation and configuration practices, including recommendations for connecting PV modules, grounding, and ensuring proper orientation and tilt for maximum energy generation.</w:t>
      </w:r>
    </w:p>
    <w:p w14:paraId="48C8A79B" w14:textId="77777777" w:rsidR="00727737" w:rsidRDefault="00000000">
      <w:pPr>
        <w:numPr>
          <w:ilvl w:val="1"/>
          <w:numId w:val="13"/>
        </w:numPr>
        <w:spacing w:after="240"/>
        <w:ind w:right="0"/>
        <w:rPr>
          <w:color w:val="000000"/>
        </w:rPr>
      </w:pPr>
      <w:r>
        <w:rPr>
          <w:b/>
          <w:color w:val="000000"/>
        </w:rPr>
        <w:t>Application</w:t>
      </w:r>
      <w:r>
        <w:rPr>
          <w:color w:val="000000"/>
        </w:rPr>
        <w:t>: Useful for PV array designers and installers to ensure that arrays are constructed in a way that maximizes performance, minimizes energy loss, and ensures safe operation.</w:t>
      </w:r>
    </w:p>
    <w:p w14:paraId="54D2AF1D" w14:textId="77777777" w:rsidR="00727737" w:rsidRDefault="00000000">
      <w:pPr>
        <w:spacing w:after="0"/>
        <w:ind w:right="0"/>
        <w:rPr>
          <w:color w:val="000000"/>
        </w:rPr>
      </w:pPr>
      <w:r>
        <w:rPr>
          <w:b/>
          <w:color w:val="000000"/>
        </w:rPr>
        <w:t xml:space="preserve">2.Regulatory Landscape for Romanian Pilot Site </w:t>
      </w:r>
      <w:r>
        <w:rPr>
          <w:color w:val="000000"/>
        </w:rPr>
        <w:t xml:space="preserve"> </w:t>
      </w:r>
    </w:p>
    <w:p w14:paraId="3194C227" w14:textId="77777777" w:rsidR="00727737" w:rsidRDefault="00727737">
      <w:pPr>
        <w:spacing w:after="0"/>
        <w:ind w:right="0"/>
        <w:rPr>
          <w:color w:val="000000"/>
        </w:rPr>
      </w:pPr>
    </w:p>
    <w:p w14:paraId="32E92B1C" w14:textId="77777777" w:rsidR="00727737" w:rsidRDefault="00000000">
      <w:pPr>
        <w:spacing w:after="0"/>
        <w:ind w:right="0"/>
        <w:rPr>
          <w:color w:val="000000"/>
        </w:rPr>
      </w:pPr>
      <w:r>
        <w:rPr>
          <w:color w:val="000000"/>
        </w:rPr>
        <w:t>National laws and EU directives govern Romania’s energy regulations for both residential and commercial solar energy systems. The relevant regulatory bodies include:</w:t>
      </w:r>
    </w:p>
    <w:p w14:paraId="36279BF4" w14:textId="77777777" w:rsidR="00727737" w:rsidRDefault="00000000">
      <w:pPr>
        <w:numPr>
          <w:ilvl w:val="0"/>
          <w:numId w:val="2"/>
        </w:numPr>
        <w:spacing w:after="0"/>
        <w:ind w:right="0"/>
        <w:rPr>
          <w:color w:val="000000"/>
        </w:rPr>
      </w:pPr>
      <w:r>
        <w:rPr>
          <w:color w:val="000000"/>
        </w:rPr>
        <w:t>ANRE (</w:t>
      </w:r>
      <w:proofErr w:type="spellStart"/>
      <w:r>
        <w:rPr>
          <w:color w:val="000000"/>
        </w:rPr>
        <w:t>Autoritatea</w:t>
      </w:r>
      <w:proofErr w:type="spellEnd"/>
      <w:r>
        <w:rPr>
          <w:color w:val="000000"/>
        </w:rPr>
        <w:t xml:space="preserve"> </w:t>
      </w:r>
      <w:proofErr w:type="spellStart"/>
      <w:r>
        <w:rPr>
          <w:color w:val="000000"/>
        </w:rPr>
        <w:t>Națională</w:t>
      </w:r>
      <w:proofErr w:type="spellEnd"/>
      <w:r>
        <w:rPr>
          <w:color w:val="000000"/>
        </w:rPr>
        <w:t xml:space="preserve"> de </w:t>
      </w:r>
      <w:proofErr w:type="spellStart"/>
      <w:r>
        <w:rPr>
          <w:color w:val="000000"/>
        </w:rPr>
        <w:t>Reglementare</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domeniul</w:t>
      </w:r>
      <w:proofErr w:type="spellEnd"/>
      <w:r>
        <w:rPr>
          <w:color w:val="000000"/>
        </w:rPr>
        <w:t xml:space="preserve"> </w:t>
      </w:r>
      <w:proofErr w:type="spellStart"/>
      <w:r>
        <w:rPr>
          <w:color w:val="000000"/>
        </w:rPr>
        <w:t>Energiei</w:t>
      </w:r>
      <w:proofErr w:type="spellEnd"/>
      <w:r>
        <w:rPr>
          <w:color w:val="000000"/>
        </w:rPr>
        <w:t>) – Responsible for overseeing energy market regulations, issuing licenses, and managing energy policies in Romania​.[8]</w:t>
      </w:r>
    </w:p>
    <w:p w14:paraId="28969DC2" w14:textId="77777777" w:rsidR="00727737" w:rsidRDefault="00000000">
      <w:pPr>
        <w:numPr>
          <w:ilvl w:val="0"/>
          <w:numId w:val="2"/>
        </w:numPr>
        <w:spacing w:after="0"/>
        <w:ind w:right="0"/>
        <w:rPr>
          <w:color w:val="000000"/>
        </w:rPr>
      </w:pPr>
      <w:r>
        <w:rPr>
          <w:color w:val="000000"/>
        </w:rPr>
        <w:t>Environmental Protection Agency (EPA) – Handles the environmental permits for projects with potential ecological impacts​.[9]</w:t>
      </w:r>
    </w:p>
    <w:p w14:paraId="352EE535" w14:textId="77777777" w:rsidR="00727737" w:rsidRDefault="00000000">
      <w:pPr>
        <w:spacing w:before="240" w:after="240"/>
        <w:ind w:right="0"/>
        <w:rPr>
          <w:color w:val="000000"/>
        </w:rPr>
      </w:pPr>
      <w:r>
        <w:rPr>
          <w:color w:val="000000"/>
        </w:rPr>
        <w:t>In Romania</w:t>
      </w:r>
      <w:r>
        <w:rPr>
          <w:b/>
          <w:color w:val="000000"/>
        </w:rPr>
        <w:t xml:space="preserve"> Law No. 220/2008 on the Promotion of Energy from Renewable </w:t>
      </w:r>
      <w:proofErr w:type="gramStart"/>
      <w:r>
        <w:rPr>
          <w:b/>
          <w:color w:val="000000"/>
        </w:rPr>
        <w:t>Sources</w:t>
      </w:r>
      <w:r>
        <w:rPr>
          <w:color w:val="000000"/>
        </w:rPr>
        <w:t xml:space="preserve">  provides</w:t>
      </w:r>
      <w:proofErr w:type="gramEnd"/>
      <w:r>
        <w:rPr>
          <w:color w:val="000000"/>
        </w:rPr>
        <w:t xml:space="preserve"> the legal framework for promoting solar energy in both residential and commercial buildings. Key provisions include:</w:t>
      </w:r>
    </w:p>
    <w:p w14:paraId="631BF1E7" w14:textId="77777777" w:rsidR="00727737" w:rsidRDefault="00000000">
      <w:pPr>
        <w:numPr>
          <w:ilvl w:val="0"/>
          <w:numId w:val="23"/>
        </w:numPr>
        <w:spacing w:before="240" w:after="0"/>
        <w:ind w:right="0"/>
        <w:rPr>
          <w:color w:val="000000"/>
        </w:rPr>
      </w:pPr>
      <w:r>
        <w:rPr>
          <w:b/>
          <w:color w:val="000000"/>
        </w:rPr>
        <w:t>Green Certificates</w:t>
      </w:r>
      <w:r>
        <w:rPr>
          <w:color w:val="000000"/>
        </w:rPr>
        <w:t xml:space="preserve"> for commercial installations producing renewable energy, allowing producers to sell certificates and generate additional revenue​.</w:t>
      </w:r>
    </w:p>
    <w:p w14:paraId="421C07FB" w14:textId="77777777" w:rsidR="00727737" w:rsidRDefault="00000000">
      <w:pPr>
        <w:numPr>
          <w:ilvl w:val="0"/>
          <w:numId w:val="23"/>
        </w:numPr>
        <w:spacing w:after="240"/>
        <w:ind w:right="0"/>
        <w:rPr>
          <w:color w:val="000000"/>
        </w:rPr>
      </w:pPr>
      <w:r>
        <w:rPr>
          <w:b/>
          <w:color w:val="000000"/>
        </w:rPr>
        <w:lastRenderedPageBreak/>
        <w:t>Net Metering for Prosumers</w:t>
      </w:r>
      <w:r>
        <w:rPr>
          <w:color w:val="000000"/>
        </w:rPr>
        <w:t>: Homeowners and businesses can install solar panels, use the energy, and send excess production back into the grid to reduce energy bills, benefiting from Romania’s prosumer policies.[10]</w:t>
      </w:r>
    </w:p>
    <w:p w14:paraId="486AF296" w14:textId="77777777" w:rsidR="00727737" w:rsidRDefault="00000000">
      <w:pPr>
        <w:spacing w:before="240" w:after="240"/>
        <w:ind w:right="0"/>
        <w:rPr>
          <w:color w:val="000000"/>
        </w:rPr>
      </w:pPr>
      <w:r>
        <w:rPr>
          <w:color w:val="000000"/>
        </w:rPr>
        <w:t>ANRE Order No. 15/2022 introduced two financial compensation mechanisms for existing prosumers with installations of up to 400 kW: (a) prosumers with renewable energy installations between 200 kW and 400 kW can sell surplus energy to contracted suppliers; and (b) prosumers with installations under 200 kW can opt for quantitative compensation, where the surplus energy delivered to the grid is deducted from future bills.</w:t>
      </w:r>
    </w:p>
    <w:p w14:paraId="49E94C7E" w14:textId="77777777" w:rsidR="00727737" w:rsidRDefault="00000000">
      <w:pPr>
        <w:spacing w:before="240" w:after="240"/>
        <w:ind w:right="0"/>
        <w:rPr>
          <w:color w:val="000000"/>
        </w:rPr>
      </w:pPr>
      <w:r>
        <w:rPr>
          <w:color w:val="000000"/>
        </w:rPr>
        <w:t xml:space="preserve">The current legislation regarding residential PV systems generation is the prosumer law and </w:t>
      </w:r>
      <w:proofErr w:type="gramStart"/>
      <w:r>
        <w:rPr>
          <w:color w:val="000000"/>
        </w:rPr>
        <w:t>regulations[</w:t>
      </w:r>
      <w:proofErr w:type="gramEnd"/>
      <w:r>
        <w:rPr>
          <w:color w:val="000000"/>
        </w:rPr>
        <w:t xml:space="preserve">11]. An important legislative novelty approved in 2018, was the concept of prosumer which is the final consumer who owns a renewable energy system, with an installed power of up to 27 kW, that can generate electricity in his/her building, and that can be </w:t>
      </w:r>
      <w:proofErr w:type="spellStart"/>
      <w:proofErr w:type="gramStart"/>
      <w:r>
        <w:rPr>
          <w:color w:val="000000"/>
        </w:rPr>
        <w:t>consumed,stored</w:t>
      </w:r>
      <w:proofErr w:type="spellEnd"/>
      <w:proofErr w:type="gramEnd"/>
      <w:r>
        <w:rPr>
          <w:color w:val="000000"/>
        </w:rPr>
        <w:t xml:space="preserve"> and the excess sold [4]. The Romanian Parliament adopted this legal framework [4] for encouraging investors to install PV systems</w:t>
      </w:r>
    </w:p>
    <w:p w14:paraId="16285C1C" w14:textId="77777777" w:rsidR="00727737" w:rsidRDefault="00000000">
      <w:pPr>
        <w:spacing w:before="240" w:after="240"/>
        <w:ind w:right="0"/>
        <w:rPr>
          <w:color w:val="000000"/>
        </w:rPr>
      </w:pPr>
      <w:r>
        <w:rPr>
          <w:color w:val="000000"/>
        </w:rPr>
        <w:t xml:space="preserve">Also there are different programs In </w:t>
      </w:r>
      <w:proofErr w:type="gramStart"/>
      <w:r>
        <w:rPr>
          <w:color w:val="000000"/>
        </w:rPr>
        <w:t>Romania  that</w:t>
      </w:r>
      <w:proofErr w:type="gramEnd"/>
      <w:r>
        <w:rPr>
          <w:color w:val="000000"/>
        </w:rPr>
        <w:t xml:space="preserve"> support the deployment of solar energy systems:</w:t>
      </w:r>
    </w:p>
    <w:p w14:paraId="25626BF3" w14:textId="77777777" w:rsidR="00727737" w:rsidRDefault="00000000">
      <w:pPr>
        <w:numPr>
          <w:ilvl w:val="0"/>
          <w:numId w:val="17"/>
        </w:numPr>
        <w:spacing w:before="240" w:after="0"/>
        <w:ind w:right="0"/>
        <w:rPr>
          <w:color w:val="000000"/>
        </w:rPr>
      </w:pPr>
      <w:r>
        <w:rPr>
          <w:color w:val="000000"/>
        </w:rPr>
        <w:t>National programs like “</w:t>
      </w:r>
      <w:r>
        <w:rPr>
          <w:i/>
          <w:color w:val="000000"/>
        </w:rPr>
        <w:t xml:space="preserve">Casa Verde </w:t>
      </w:r>
      <w:proofErr w:type="spellStart"/>
      <w:r>
        <w:rPr>
          <w:i/>
          <w:color w:val="000000"/>
        </w:rPr>
        <w:t>Fotovoltaice</w:t>
      </w:r>
      <w:proofErr w:type="spellEnd"/>
      <w:r>
        <w:rPr>
          <w:color w:val="000000"/>
        </w:rPr>
        <w:t>” offer solar installation grants.  Specifically, through the Environmental Fund Administration (AFM), the Romanian state provides non-reimbursable RON 20,000 per installation funding, with the beneficiary contributing RON 2,000.[12]</w:t>
      </w:r>
    </w:p>
    <w:p w14:paraId="4BD41195" w14:textId="77777777" w:rsidR="00727737" w:rsidRDefault="00000000">
      <w:pPr>
        <w:numPr>
          <w:ilvl w:val="0"/>
          <w:numId w:val="17"/>
        </w:numPr>
        <w:spacing w:after="0"/>
        <w:ind w:right="0"/>
        <w:rPr>
          <w:color w:val="000000"/>
        </w:rPr>
      </w:pPr>
      <w:r>
        <w:rPr>
          <w:color w:val="000000"/>
        </w:rPr>
        <w:t xml:space="preserve">The Electric-UP program provides financial aid to small and medium-sized enterprises (SMEs) and the HORECA (Hotels, Restaurants, Cafes) sector for the installation of solar panels. This program supports Romania’s transition to greener energy in commercial buildings by funding up to 150,000 EUR for eligible </w:t>
      </w:r>
      <w:proofErr w:type="spellStart"/>
      <w:proofErr w:type="gramStart"/>
      <w:r>
        <w:rPr>
          <w:color w:val="000000"/>
        </w:rPr>
        <w:t>projects.The</w:t>
      </w:r>
      <w:proofErr w:type="spellEnd"/>
      <w:proofErr w:type="gramEnd"/>
      <w:r>
        <w:rPr>
          <w:color w:val="000000"/>
        </w:rPr>
        <w:t xml:space="preserve"> program encourages businesses to invest in solar energy solutions to meet their energy needs while contributing to Romania’s overall renewable energy targets​.[13]</w:t>
      </w:r>
    </w:p>
    <w:p w14:paraId="21B365D6" w14:textId="77777777" w:rsidR="00727737" w:rsidRDefault="00000000">
      <w:pPr>
        <w:numPr>
          <w:ilvl w:val="0"/>
          <w:numId w:val="17"/>
        </w:numPr>
        <w:spacing w:after="240"/>
        <w:ind w:right="0"/>
        <w:rPr>
          <w:color w:val="000000"/>
        </w:rPr>
      </w:pPr>
      <w:r>
        <w:rPr>
          <w:color w:val="000000"/>
        </w:rPr>
        <w:t xml:space="preserve">Incentive program as part of the </w:t>
      </w:r>
      <w:proofErr w:type="spellStart"/>
      <w:r>
        <w:rPr>
          <w:color w:val="000000"/>
        </w:rPr>
        <w:t>REPowerEU</w:t>
      </w:r>
      <w:proofErr w:type="spellEnd"/>
      <w:r>
        <w:rPr>
          <w:color w:val="000000"/>
        </w:rPr>
        <w:t xml:space="preserve">, starting in 2024, run by the Ministry of Investments and European Projects, which includes batteries in the scheme: vouchers for up to 10,000 EUR for PVs and batteries - 5,000 EUR for minimum of 3 kW PV installation, and 5,000 EUR for a </w:t>
      </w:r>
      <w:proofErr w:type="gramStart"/>
      <w:r>
        <w:rPr>
          <w:color w:val="000000"/>
        </w:rPr>
        <w:t>5 kWh</w:t>
      </w:r>
      <w:proofErr w:type="gramEnd"/>
      <w:r>
        <w:rPr>
          <w:color w:val="000000"/>
        </w:rPr>
        <w:t xml:space="preserve"> battery.[14]</w:t>
      </w:r>
    </w:p>
    <w:p w14:paraId="7A567B03" w14:textId="77777777" w:rsidR="00727737" w:rsidRDefault="00727737">
      <w:pPr>
        <w:spacing w:before="240" w:after="240"/>
        <w:ind w:left="720" w:right="0"/>
        <w:rPr>
          <w:color w:val="000000"/>
        </w:rPr>
      </w:pPr>
    </w:p>
    <w:p w14:paraId="62BA0BBD" w14:textId="77777777" w:rsidR="00727737" w:rsidRDefault="00000000">
      <w:pPr>
        <w:spacing w:before="240" w:after="240"/>
        <w:ind w:right="0"/>
        <w:rPr>
          <w:b/>
          <w:color w:val="000000"/>
        </w:rPr>
      </w:pPr>
      <w:r>
        <w:rPr>
          <w:b/>
          <w:color w:val="000000"/>
        </w:rPr>
        <w:t>3.Regulatory Landscape for German Pilot Site</w:t>
      </w:r>
    </w:p>
    <w:p w14:paraId="16612FFF" w14:textId="77777777" w:rsidR="00727737" w:rsidRDefault="00000000">
      <w:pPr>
        <w:spacing w:after="240"/>
        <w:ind w:right="0"/>
        <w:rPr>
          <w:color w:val="000000"/>
        </w:rPr>
      </w:pPr>
      <w:r>
        <w:rPr>
          <w:color w:val="000000"/>
        </w:rPr>
        <w:t>The legal framework for the establishment, connection, commissioning, remuneration, and promotion of photovoltaic (PV) systems in Germany is established by the Renewable Energy Sources Act (EEG) and the Energy Industry Act (</w:t>
      </w:r>
      <w:proofErr w:type="spellStart"/>
      <w:r>
        <w:rPr>
          <w:color w:val="000000"/>
        </w:rPr>
        <w:t>EnWG</w:t>
      </w:r>
      <w:proofErr w:type="spellEnd"/>
      <w:r>
        <w:rPr>
          <w:color w:val="000000"/>
        </w:rPr>
        <w:t xml:space="preserve">). These laws are developed by the Federal Ministry for Economic Affairs and Climate Action (BMWK) and subsequently approved by the Bundestag. The feed-in conditions and remuneration rates vary depending on the date of commissioning, system size, and installation </w:t>
      </w:r>
      <w:proofErr w:type="gramStart"/>
      <w:r>
        <w:rPr>
          <w:color w:val="000000"/>
        </w:rPr>
        <w:t>type[</w:t>
      </w:r>
      <w:proofErr w:type="gramEnd"/>
      <w:r>
        <w:rPr>
          <w:color w:val="000000"/>
        </w:rPr>
        <w:t>15]. Operators can either feed their PV electricity entirely into the grid or partially consume it and feed the surplus back to the grid operator.</w:t>
      </w:r>
    </w:p>
    <w:p w14:paraId="297B176A" w14:textId="77777777" w:rsidR="00727737" w:rsidRDefault="00000000">
      <w:pPr>
        <w:spacing w:before="240" w:after="240"/>
        <w:ind w:right="0"/>
        <w:rPr>
          <w:color w:val="000000"/>
        </w:rPr>
      </w:pPr>
      <w:r>
        <w:rPr>
          <w:color w:val="000000"/>
        </w:rPr>
        <w:lastRenderedPageBreak/>
        <w:t xml:space="preserve">The feed-in remuneration is guaranteed for 20 years from the date of commissioning, with rates decreasing by 1% every six months starting in February 2024 for newly commissioned PV </w:t>
      </w:r>
      <w:proofErr w:type="gramStart"/>
      <w:r>
        <w:rPr>
          <w:color w:val="000000"/>
        </w:rPr>
        <w:t>plants[</w:t>
      </w:r>
      <w:proofErr w:type="gramEnd"/>
      <w:r>
        <w:rPr>
          <w:color w:val="000000"/>
        </w:rPr>
        <w:t>16]. In the case of direct marketing, the difference between the market price and the feed-in remuneration is reimbursed as a market premium. The EEG surcharge was abolished in 2023, and the remuneration for feed-in is now financed through the federal budget, supported by the Climate and Transformation Fund (KTF</w:t>
      </w:r>
      <w:proofErr w:type="gramStart"/>
      <w:r>
        <w:rPr>
          <w:color w:val="000000"/>
        </w:rPr>
        <w:t>)[</w:t>
      </w:r>
      <w:proofErr w:type="gramEnd"/>
      <w:r>
        <w:rPr>
          <w:color w:val="000000"/>
        </w:rPr>
        <w:t>17].</w:t>
      </w:r>
    </w:p>
    <w:p w14:paraId="723E05D0" w14:textId="77777777" w:rsidR="00727737" w:rsidRDefault="00000000">
      <w:pPr>
        <w:spacing w:before="240" w:after="240"/>
        <w:ind w:right="0"/>
        <w:rPr>
          <w:color w:val="000000"/>
        </w:rPr>
      </w:pPr>
      <w:r>
        <w:rPr>
          <w:color w:val="000000"/>
        </w:rPr>
        <w:t xml:space="preserve">As part of the EEG amendment in 2023, the 70% nominal capacity limitation for new systems up to 25 </w:t>
      </w:r>
      <w:proofErr w:type="spellStart"/>
      <w:r>
        <w:rPr>
          <w:color w:val="000000"/>
        </w:rPr>
        <w:t>kWp</w:t>
      </w:r>
      <w:proofErr w:type="spellEnd"/>
      <w:r>
        <w:rPr>
          <w:color w:val="000000"/>
        </w:rPr>
        <w:t xml:space="preserve">, which were commissioned after September 14, 2022, and for existing systems up to 7 </w:t>
      </w:r>
      <w:proofErr w:type="spellStart"/>
      <w:r>
        <w:rPr>
          <w:color w:val="000000"/>
        </w:rPr>
        <w:t>kWp</w:t>
      </w:r>
      <w:proofErr w:type="spellEnd"/>
      <w:r>
        <w:rPr>
          <w:color w:val="000000"/>
        </w:rPr>
        <w:t xml:space="preserve"> has been </w:t>
      </w:r>
      <w:proofErr w:type="gramStart"/>
      <w:r>
        <w:rPr>
          <w:color w:val="000000"/>
        </w:rPr>
        <w:t>removed[</w:t>
      </w:r>
      <w:proofErr w:type="gramEnd"/>
      <w:r>
        <w:rPr>
          <w:color w:val="000000"/>
        </w:rPr>
        <w:t xml:space="preserve">18]. Individuals benefit from VAT exemption when purchasing PV systems up to 30 </w:t>
      </w:r>
      <w:proofErr w:type="spellStart"/>
      <w:r>
        <w:rPr>
          <w:color w:val="000000"/>
        </w:rPr>
        <w:t>kWp</w:t>
      </w:r>
      <w:proofErr w:type="spellEnd"/>
      <w:r>
        <w:rPr>
          <w:color w:val="000000"/>
        </w:rPr>
        <w:t xml:space="preserve">, while costs for installation, necessary components, expansions, and the replacement of existing systems are also exempt from VAT. Additionally, balcony power plants up to 2000 </w:t>
      </w:r>
      <w:proofErr w:type="spellStart"/>
      <w:r>
        <w:rPr>
          <w:color w:val="000000"/>
        </w:rPr>
        <w:t>Wp</w:t>
      </w:r>
      <w:proofErr w:type="spellEnd"/>
      <w:r>
        <w:rPr>
          <w:color w:val="000000"/>
        </w:rPr>
        <w:t xml:space="preserve"> total power and 800 </w:t>
      </w:r>
      <w:proofErr w:type="spellStart"/>
      <w:r>
        <w:rPr>
          <w:color w:val="000000"/>
        </w:rPr>
        <w:t>Wp</w:t>
      </w:r>
      <w:proofErr w:type="spellEnd"/>
      <w:r>
        <w:rPr>
          <w:color w:val="000000"/>
        </w:rPr>
        <w:t xml:space="preserve"> inverter power no longer need to be registered with the grid operator, although registration in the Market Master Data Register is required.[19]</w:t>
      </w:r>
    </w:p>
    <w:p w14:paraId="5071E144" w14:textId="77777777" w:rsidR="00727737" w:rsidRDefault="00000000">
      <w:pPr>
        <w:spacing w:before="240" w:after="240"/>
        <w:ind w:right="0"/>
        <w:rPr>
          <w:color w:val="000000"/>
        </w:rPr>
      </w:pPr>
      <w:r>
        <w:rPr>
          <w:color w:val="000000"/>
        </w:rPr>
        <w:t xml:space="preserve">Furthermore, operators of systems with 100 </w:t>
      </w:r>
      <w:proofErr w:type="spellStart"/>
      <w:r>
        <w:rPr>
          <w:color w:val="000000"/>
        </w:rPr>
        <w:t>kWp</w:t>
      </w:r>
      <w:proofErr w:type="spellEnd"/>
      <w:r>
        <w:rPr>
          <w:color w:val="000000"/>
        </w:rPr>
        <w:t xml:space="preserve"> or more are required to engage in direct marketing, while those with installed capacities up to 200 kW can now deliver surplus energy without </w:t>
      </w:r>
      <w:proofErr w:type="gramStart"/>
      <w:r>
        <w:rPr>
          <w:color w:val="000000"/>
        </w:rPr>
        <w:t>remuneration[</w:t>
      </w:r>
      <w:proofErr w:type="gramEnd"/>
      <w:r>
        <w:rPr>
          <w:color w:val="000000"/>
        </w:rPr>
        <w:t>21]. Data protection and security protocols, particularly the General Data Protection Regulation (GDPR), are crucial for ensuring the proper processing of personal data. Health and safety standards, such as DIN EN 62446, must also be adhered to during the maintenance of PV systems.</w:t>
      </w:r>
    </w:p>
    <w:p w14:paraId="3BDBCC57" w14:textId="77777777" w:rsidR="00727737" w:rsidRDefault="00000000">
      <w:pPr>
        <w:spacing w:before="240" w:after="240"/>
        <w:ind w:right="0"/>
        <w:rPr>
          <w:color w:val="000000"/>
        </w:rPr>
      </w:pPr>
      <w:r>
        <w:rPr>
          <w:color w:val="000000"/>
        </w:rPr>
        <w:t xml:space="preserve">The AI Act (Regulation (EU) 2024/1689), introduced by the EU, is legally binding in Germany, Italy, and Romania. However, this regulation has yet to be transposed into national law in Germany. The AI Act establishes stringent regulations and assessments, particularly when artificial intelligence (AI) is employed in critical infrastructures and when it processes personal data that could be used to identify </w:t>
      </w:r>
      <w:proofErr w:type="gramStart"/>
      <w:r>
        <w:rPr>
          <w:color w:val="000000"/>
        </w:rPr>
        <w:t>individuals[</w:t>
      </w:r>
      <w:proofErr w:type="gramEnd"/>
      <w:r>
        <w:rPr>
          <w:color w:val="000000"/>
        </w:rPr>
        <w:t>22].</w:t>
      </w:r>
    </w:p>
    <w:p w14:paraId="7A3AE8E3" w14:textId="4E76A8B8" w:rsidR="00727737" w:rsidRDefault="00000000">
      <w:pPr>
        <w:spacing w:before="240" w:after="240"/>
        <w:ind w:right="0"/>
        <w:rPr>
          <w:color w:val="000000"/>
        </w:rPr>
      </w:pPr>
      <w:r>
        <w:rPr>
          <w:color w:val="000000"/>
        </w:rPr>
        <w:t>In our pilot project, we exclusively utilize data from photovoltaic (PV) modules for forecasting, fault diagnosis, and predictive maintenance through the training of various AI models. These models are intended solely for the visual representation of key factors, actionable recommendations, and the health status of the PV systems, and they do not influence performance adjustments. Consequently, there is no direct impact on grid quality. The regulations have no implications for the demonstrator of the Fraunhofer Institute for Solar Energy Systems (IFF).</w:t>
      </w:r>
    </w:p>
    <w:p w14:paraId="41055103" w14:textId="77777777" w:rsidR="00727737" w:rsidRDefault="00000000" w:rsidP="00BD416D">
      <w:pPr>
        <w:pStyle w:val="Heading1"/>
        <w:numPr>
          <w:ilvl w:val="0"/>
          <w:numId w:val="0"/>
        </w:numPr>
        <w:ind w:left="720" w:hanging="720"/>
        <w:rPr>
          <w:color w:val="000000"/>
        </w:rPr>
      </w:pPr>
      <w:bookmarkStart w:id="18" w:name="_Toc192002918"/>
      <w:r>
        <w:rPr>
          <w:color w:val="000000"/>
        </w:rPr>
        <w:t>5.Challenges and Risks</w:t>
      </w:r>
      <w:bookmarkEnd w:id="18"/>
    </w:p>
    <w:p w14:paraId="0401C65F" w14:textId="704D816C" w:rsidR="00727737" w:rsidRPr="000D4575" w:rsidRDefault="00BD416D" w:rsidP="000D4575">
      <w:pPr>
        <w:pStyle w:val="Heading2"/>
        <w:numPr>
          <w:ilvl w:val="0"/>
          <w:numId w:val="0"/>
        </w:numPr>
        <w:rPr>
          <w:color w:val="auto"/>
        </w:rPr>
      </w:pPr>
      <w:bookmarkStart w:id="19" w:name="_heading=h.s5ecruf8rwjs" w:colFirst="0" w:colLast="0"/>
      <w:bookmarkStart w:id="20" w:name="_Toc192002919"/>
      <w:bookmarkEnd w:id="19"/>
      <w:r w:rsidRPr="000D4575">
        <w:rPr>
          <w:color w:val="auto"/>
        </w:rPr>
        <w:t>5.</w:t>
      </w:r>
      <w:proofErr w:type="gramStart"/>
      <w:r w:rsidRPr="000D4575">
        <w:rPr>
          <w:color w:val="auto"/>
        </w:rPr>
        <w:t>1.</w:t>
      </w:r>
      <w:r w:rsidR="00000000" w:rsidRPr="000D4575">
        <w:rPr>
          <w:color w:val="auto"/>
        </w:rPr>
        <w:t>Legal</w:t>
      </w:r>
      <w:proofErr w:type="gramEnd"/>
      <w:r w:rsidR="00000000" w:rsidRPr="000D4575">
        <w:rPr>
          <w:color w:val="auto"/>
        </w:rPr>
        <w:t xml:space="preserve"> and Regulatory Compliance</w:t>
      </w:r>
      <w:bookmarkEnd w:id="20"/>
    </w:p>
    <w:p w14:paraId="5323DBAA" w14:textId="77777777" w:rsidR="00727737" w:rsidRDefault="00000000">
      <w:pPr>
        <w:numPr>
          <w:ilvl w:val="0"/>
          <w:numId w:val="19"/>
        </w:numPr>
        <w:spacing w:before="240" w:after="0"/>
        <w:ind w:right="0"/>
        <w:rPr>
          <w:color w:val="000000"/>
        </w:rPr>
      </w:pPr>
      <w:r>
        <w:rPr>
          <w:b/>
          <w:color w:val="000000"/>
        </w:rPr>
        <w:t>Complex Regulations</w:t>
      </w:r>
      <w:r>
        <w:rPr>
          <w:color w:val="000000"/>
        </w:rPr>
        <w:t>: Navigating diverse and evolving EU and local regulations, including renewable energy directives and data protection laws, may complicate compliance, especially across different jurisdictions.</w:t>
      </w:r>
    </w:p>
    <w:p w14:paraId="21AEE898" w14:textId="77777777" w:rsidR="00727737" w:rsidRDefault="00000000">
      <w:pPr>
        <w:numPr>
          <w:ilvl w:val="0"/>
          <w:numId w:val="19"/>
        </w:numPr>
        <w:spacing w:after="240"/>
        <w:ind w:right="0"/>
        <w:rPr>
          <w:color w:val="000000"/>
        </w:rPr>
      </w:pPr>
      <w:r>
        <w:rPr>
          <w:b/>
          <w:color w:val="000000"/>
        </w:rPr>
        <w:t>Changing Laws</w:t>
      </w:r>
      <w:r>
        <w:rPr>
          <w:color w:val="000000"/>
        </w:rPr>
        <w:t>: Frequent updates to laws related to energy production, data privacy, and AI/IoT use may require adjustments to the system, adding costs and delays.</w:t>
      </w:r>
    </w:p>
    <w:p w14:paraId="4E1DCEE8" w14:textId="77777777" w:rsidR="00727737" w:rsidRPr="000D4575" w:rsidRDefault="00000000" w:rsidP="000D4575">
      <w:pPr>
        <w:pStyle w:val="Heading2"/>
        <w:numPr>
          <w:ilvl w:val="0"/>
          <w:numId w:val="0"/>
        </w:numPr>
        <w:rPr>
          <w:color w:val="auto"/>
        </w:rPr>
      </w:pPr>
      <w:bookmarkStart w:id="21" w:name="_heading=h.ggb5rsequ1ht" w:colFirst="0" w:colLast="0"/>
      <w:bookmarkStart w:id="22" w:name="_Toc192002920"/>
      <w:bookmarkEnd w:id="21"/>
      <w:r w:rsidRPr="000D4575">
        <w:rPr>
          <w:color w:val="auto"/>
        </w:rPr>
        <w:lastRenderedPageBreak/>
        <w:t>5.2 Data Privacy and Security</w:t>
      </w:r>
      <w:bookmarkEnd w:id="22"/>
    </w:p>
    <w:p w14:paraId="68978341" w14:textId="77777777" w:rsidR="00727737" w:rsidRDefault="00000000">
      <w:pPr>
        <w:numPr>
          <w:ilvl w:val="0"/>
          <w:numId w:val="9"/>
        </w:numPr>
        <w:spacing w:before="240" w:after="0"/>
        <w:ind w:right="0"/>
        <w:rPr>
          <w:color w:val="000000"/>
        </w:rPr>
      </w:pPr>
      <w:r>
        <w:rPr>
          <w:b/>
          <w:color w:val="000000"/>
        </w:rPr>
        <w:t>Data Protection</w:t>
      </w:r>
      <w:r>
        <w:rPr>
          <w:color w:val="000000"/>
        </w:rPr>
        <w:t>: Compliance with GDPR and other data protection laws is crucial for the system’s success. Data breaches or failures to secure sensitive information could result in legal penalties.</w:t>
      </w:r>
    </w:p>
    <w:p w14:paraId="179340D0" w14:textId="77777777" w:rsidR="00727737" w:rsidRDefault="00000000">
      <w:pPr>
        <w:numPr>
          <w:ilvl w:val="0"/>
          <w:numId w:val="9"/>
        </w:numPr>
        <w:spacing w:after="240"/>
        <w:ind w:right="0"/>
        <w:rPr>
          <w:color w:val="000000"/>
        </w:rPr>
      </w:pPr>
      <w:r>
        <w:rPr>
          <w:b/>
          <w:color w:val="000000"/>
        </w:rPr>
        <w:t>Cybersecurity Risks</w:t>
      </w:r>
      <w:r>
        <w:rPr>
          <w:color w:val="000000"/>
        </w:rPr>
        <w:t>: IoT sensors and AI systems are vulnerable to cyberattacks. Ensuring secure data transmission and system integrity is essential but can add complexity.</w:t>
      </w:r>
    </w:p>
    <w:p w14:paraId="072A2A22" w14:textId="77777777" w:rsidR="00727737" w:rsidRPr="000D4575" w:rsidRDefault="00000000" w:rsidP="000D4575">
      <w:pPr>
        <w:pStyle w:val="Heading2"/>
        <w:numPr>
          <w:ilvl w:val="0"/>
          <w:numId w:val="0"/>
        </w:numPr>
        <w:rPr>
          <w:color w:val="auto"/>
        </w:rPr>
      </w:pPr>
      <w:bookmarkStart w:id="23" w:name="_heading=h.yuk7whnpf8o6" w:colFirst="0" w:colLast="0"/>
      <w:bookmarkStart w:id="24" w:name="_Toc192002921"/>
      <w:bookmarkEnd w:id="23"/>
      <w:r w:rsidRPr="000D4575">
        <w:rPr>
          <w:color w:val="auto"/>
        </w:rPr>
        <w:t>5.3 Health and Safety</w:t>
      </w:r>
      <w:bookmarkEnd w:id="24"/>
    </w:p>
    <w:p w14:paraId="779F0129" w14:textId="77777777" w:rsidR="00727737" w:rsidRDefault="00000000">
      <w:pPr>
        <w:numPr>
          <w:ilvl w:val="0"/>
          <w:numId w:val="18"/>
        </w:numPr>
        <w:spacing w:before="240" w:after="0"/>
        <w:ind w:right="0"/>
        <w:rPr>
          <w:color w:val="000000"/>
        </w:rPr>
      </w:pPr>
      <w:r>
        <w:rPr>
          <w:b/>
          <w:color w:val="000000"/>
        </w:rPr>
        <w:t>Installation and Maintenance</w:t>
      </w:r>
      <w:r>
        <w:rPr>
          <w:color w:val="000000"/>
        </w:rPr>
        <w:t>: Installation of sensors and DCUs involves health and safety risks for workers, especially during electrical maintenance or in remote locations.</w:t>
      </w:r>
    </w:p>
    <w:p w14:paraId="29FC858C" w14:textId="77777777" w:rsidR="00727737" w:rsidRDefault="00000000">
      <w:pPr>
        <w:numPr>
          <w:ilvl w:val="0"/>
          <w:numId w:val="18"/>
        </w:numPr>
        <w:spacing w:after="240"/>
        <w:ind w:right="0"/>
        <w:rPr>
          <w:color w:val="000000"/>
        </w:rPr>
      </w:pPr>
      <w:r>
        <w:rPr>
          <w:b/>
          <w:color w:val="000000"/>
        </w:rPr>
        <w:t>Worker Well-being</w:t>
      </w:r>
      <w:r>
        <w:rPr>
          <w:color w:val="000000"/>
        </w:rPr>
        <w:t>: Managing worker stress and fatigue from maintaining complex monitoring systems is critical to ensure long-term efficiency.</w:t>
      </w:r>
    </w:p>
    <w:p w14:paraId="579C04E1" w14:textId="77777777" w:rsidR="00727737" w:rsidRPr="000D4575" w:rsidRDefault="00000000" w:rsidP="000D4575">
      <w:pPr>
        <w:pStyle w:val="Heading2"/>
        <w:numPr>
          <w:ilvl w:val="0"/>
          <w:numId w:val="0"/>
        </w:numPr>
        <w:rPr>
          <w:color w:val="auto"/>
        </w:rPr>
      </w:pPr>
      <w:bookmarkStart w:id="25" w:name="_heading=h.tm4oe4nvonbm" w:colFirst="0" w:colLast="0"/>
      <w:bookmarkStart w:id="26" w:name="_Toc192002922"/>
      <w:bookmarkEnd w:id="25"/>
      <w:r w:rsidRPr="000D4575">
        <w:rPr>
          <w:color w:val="auto"/>
        </w:rPr>
        <w:t>5.4 Technological and Integration Risks</w:t>
      </w:r>
      <w:bookmarkEnd w:id="26"/>
    </w:p>
    <w:p w14:paraId="17740E59" w14:textId="77777777" w:rsidR="00727737" w:rsidRDefault="00000000">
      <w:pPr>
        <w:numPr>
          <w:ilvl w:val="0"/>
          <w:numId w:val="1"/>
        </w:numPr>
        <w:spacing w:before="240" w:after="0"/>
        <w:ind w:right="0"/>
        <w:rPr>
          <w:color w:val="000000"/>
        </w:rPr>
      </w:pPr>
      <w:r>
        <w:rPr>
          <w:b/>
          <w:color w:val="000000"/>
        </w:rPr>
        <w:t>System Compatibility</w:t>
      </w:r>
      <w:r>
        <w:rPr>
          <w:color w:val="000000"/>
        </w:rPr>
        <w:t>: Integration of ZERODEFECT4PV with existing infrastructure could face technical challenges, including interoperability issues.</w:t>
      </w:r>
    </w:p>
    <w:p w14:paraId="5A57214E" w14:textId="77777777" w:rsidR="00727737" w:rsidRDefault="00000000">
      <w:pPr>
        <w:numPr>
          <w:ilvl w:val="0"/>
          <w:numId w:val="1"/>
        </w:numPr>
        <w:spacing w:after="240"/>
        <w:ind w:right="0"/>
        <w:rPr>
          <w:color w:val="000000"/>
        </w:rPr>
      </w:pPr>
      <w:r>
        <w:rPr>
          <w:b/>
          <w:color w:val="000000"/>
        </w:rPr>
        <w:t>Mesh Network Reliability</w:t>
      </w:r>
      <w:r>
        <w:rPr>
          <w:color w:val="000000"/>
        </w:rPr>
        <w:t>: Ensuring the robustness of the mesh network for real-time data transfer in harsh environments is crucial for system reliability.</w:t>
      </w:r>
    </w:p>
    <w:p w14:paraId="5BA59748" w14:textId="6C648678" w:rsidR="00727737" w:rsidRPr="000D4575" w:rsidRDefault="00000000" w:rsidP="000D4575">
      <w:pPr>
        <w:pStyle w:val="Heading2"/>
        <w:numPr>
          <w:ilvl w:val="0"/>
          <w:numId w:val="0"/>
        </w:numPr>
        <w:rPr>
          <w:color w:val="auto"/>
        </w:rPr>
      </w:pPr>
      <w:bookmarkStart w:id="27" w:name="_heading=h.mnt0g9diu01i" w:colFirst="0" w:colLast="0"/>
      <w:bookmarkStart w:id="28" w:name="_Toc192002923"/>
      <w:bookmarkEnd w:id="27"/>
      <w:r w:rsidRPr="000D4575">
        <w:rPr>
          <w:color w:val="auto"/>
        </w:rPr>
        <w:t>5.5 Environmenta</w:t>
      </w:r>
      <w:r w:rsidR="00BD416D" w:rsidRPr="000D4575">
        <w:rPr>
          <w:color w:val="auto"/>
        </w:rPr>
        <w:t>l</w:t>
      </w:r>
      <w:r w:rsidRPr="000D4575">
        <w:rPr>
          <w:color w:val="auto"/>
        </w:rPr>
        <w:t xml:space="preserve"> and Operational Risks</w:t>
      </w:r>
      <w:bookmarkEnd w:id="28"/>
    </w:p>
    <w:p w14:paraId="7AA99F36" w14:textId="77777777" w:rsidR="00727737" w:rsidRDefault="00000000">
      <w:pPr>
        <w:numPr>
          <w:ilvl w:val="0"/>
          <w:numId w:val="28"/>
        </w:numPr>
        <w:spacing w:before="240" w:after="0"/>
        <w:ind w:right="0"/>
        <w:rPr>
          <w:color w:val="000000"/>
        </w:rPr>
      </w:pPr>
      <w:r>
        <w:rPr>
          <w:b/>
          <w:color w:val="000000"/>
        </w:rPr>
        <w:t>Compliance with Environmental Laws</w:t>
      </w:r>
      <w:r>
        <w:rPr>
          <w:color w:val="000000"/>
        </w:rPr>
        <w:t>: The project must adhere to environmental regulations concerning land use and waste management to avoid legal penalties.</w:t>
      </w:r>
    </w:p>
    <w:p w14:paraId="584DD6B3" w14:textId="77777777" w:rsidR="00727737" w:rsidRDefault="00000000">
      <w:pPr>
        <w:numPr>
          <w:ilvl w:val="0"/>
          <w:numId w:val="28"/>
        </w:numPr>
        <w:spacing w:after="240"/>
        <w:ind w:right="0"/>
        <w:rPr>
          <w:color w:val="000000"/>
        </w:rPr>
      </w:pPr>
      <w:r>
        <w:rPr>
          <w:b/>
          <w:color w:val="000000"/>
        </w:rPr>
        <w:t>Weather Impact</w:t>
      </w:r>
      <w:r>
        <w:rPr>
          <w:color w:val="000000"/>
        </w:rPr>
        <w:t>: Harsh weather conditions could damage equipment or disrupt data collection, requiring additional protective measures.</w:t>
      </w:r>
    </w:p>
    <w:p w14:paraId="3D326313" w14:textId="77777777" w:rsidR="00727737" w:rsidRPr="000D4575" w:rsidRDefault="00000000" w:rsidP="000D4575">
      <w:pPr>
        <w:pStyle w:val="Heading2"/>
        <w:numPr>
          <w:ilvl w:val="0"/>
          <w:numId w:val="0"/>
        </w:numPr>
        <w:rPr>
          <w:color w:val="auto"/>
        </w:rPr>
      </w:pPr>
      <w:bookmarkStart w:id="29" w:name="_heading=h.p8m3ukdfz74l" w:colFirst="0" w:colLast="0"/>
      <w:bookmarkStart w:id="30" w:name="_Toc192002924"/>
      <w:bookmarkEnd w:id="29"/>
      <w:r w:rsidRPr="000D4575">
        <w:rPr>
          <w:color w:val="auto"/>
        </w:rPr>
        <w:t>5.6 Stakeholder and Public Acceptance</w:t>
      </w:r>
      <w:bookmarkEnd w:id="30"/>
    </w:p>
    <w:p w14:paraId="510FA5C5" w14:textId="77777777" w:rsidR="00727737" w:rsidRDefault="00000000">
      <w:pPr>
        <w:numPr>
          <w:ilvl w:val="0"/>
          <w:numId w:val="27"/>
        </w:numPr>
        <w:spacing w:before="240" w:after="0"/>
        <w:ind w:right="0"/>
        <w:rPr>
          <w:color w:val="000000"/>
        </w:rPr>
      </w:pPr>
      <w:r>
        <w:rPr>
          <w:b/>
          <w:color w:val="000000"/>
        </w:rPr>
        <w:t>Resistance to Technology</w:t>
      </w:r>
      <w:r>
        <w:rPr>
          <w:color w:val="000000"/>
        </w:rPr>
        <w:t>: Stakeholders may resist the adoption of AI/IoT systems due to concerns about data privacy, security, and environmental impact, potentially delaying implementation.</w:t>
      </w:r>
    </w:p>
    <w:p w14:paraId="6057568C" w14:textId="77777777" w:rsidR="00727737" w:rsidRDefault="00000000">
      <w:pPr>
        <w:numPr>
          <w:ilvl w:val="0"/>
          <w:numId w:val="27"/>
        </w:numPr>
        <w:spacing w:after="240"/>
        <w:ind w:right="0"/>
        <w:rPr>
          <w:color w:val="000000"/>
        </w:rPr>
      </w:pPr>
      <w:r>
        <w:rPr>
          <w:b/>
          <w:color w:val="000000"/>
        </w:rPr>
        <w:t>Training and Adoption</w:t>
      </w:r>
      <w:r>
        <w:rPr>
          <w:color w:val="000000"/>
        </w:rPr>
        <w:t>: Technicians may struggle to adapt to new monitoring methods, requiring extensive training and support.</w:t>
      </w:r>
    </w:p>
    <w:p w14:paraId="11A02CDA" w14:textId="77777777" w:rsidR="00727737" w:rsidRPr="000D4575" w:rsidRDefault="00000000" w:rsidP="000D4575">
      <w:pPr>
        <w:pStyle w:val="Heading2"/>
        <w:numPr>
          <w:ilvl w:val="0"/>
          <w:numId w:val="0"/>
        </w:numPr>
        <w:rPr>
          <w:color w:val="auto"/>
        </w:rPr>
      </w:pPr>
      <w:bookmarkStart w:id="31" w:name="_heading=h.gwjvy57eowg9" w:colFirst="0" w:colLast="0"/>
      <w:bookmarkStart w:id="32" w:name="_Toc192002925"/>
      <w:bookmarkEnd w:id="31"/>
      <w:r w:rsidRPr="000D4575">
        <w:rPr>
          <w:color w:val="auto"/>
        </w:rPr>
        <w:t>5.7 Economic and Market Risks</w:t>
      </w:r>
      <w:bookmarkEnd w:id="32"/>
    </w:p>
    <w:p w14:paraId="48E56190" w14:textId="77777777" w:rsidR="00727737" w:rsidRDefault="00000000">
      <w:pPr>
        <w:numPr>
          <w:ilvl w:val="0"/>
          <w:numId w:val="14"/>
        </w:numPr>
        <w:spacing w:before="240" w:after="0"/>
        <w:ind w:right="0"/>
        <w:rPr>
          <w:color w:val="000000"/>
        </w:rPr>
      </w:pPr>
      <w:r>
        <w:rPr>
          <w:b/>
          <w:color w:val="000000"/>
        </w:rPr>
        <w:t>Energy Market Volatility</w:t>
      </w:r>
      <w:r>
        <w:rPr>
          <w:color w:val="000000"/>
        </w:rPr>
        <w:t>: Fluctuations in energy prices or government subsidies may affect the financial viability of the project.</w:t>
      </w:r>
    </w:p>
    <w:p w14:paraId="22DCBE43" w14:textId="77777777" w:rsidR="00727737" w:rsidRDefault="00000000">
      <w:pPr>
        <w:numPr>
          <w:ilvl w:val="0"/>
          <w:numId w:val="14"/>
        </w:numPr>
        <w:spacing w:after="240"/>
        <w:ind w:right="0"/>
        <w:rPr>
          <w:color w:val="000000"/>
        </w:rPr>
      </w:pPr>
      <w:r>
        <w:rPr>
          <w:b/>
          <w:color w:val="000000"/>
        </w:rPr>
        <w:t>Funding Challenges</w:t>
      </w:r>
      <w:r>
        <w:rPr>
          <w:color w:val="000000"/>
        </w:rPr>
        <w:t>: Securing consistent investment for research and scaling the project could face uncertainties due to market conditions.</w:t>
      </w:r>
    </w:p>
    <w:p w14:paraId="097BC7DE" w14:textId="77777777" w:rsidR="00727737" w:rsidRDefault="00000000" w:rsidP="000D4575">
      <w:pPr>
        <w:pStyle w:val="Heading1"/>
        <w:numPr>
          <w:ilvl w:val="0"/>
          <w:numId w:val="0"/>
        </w:numPr>
        <w:ind w:left="720" w:hanging="720"/>
        <w:rPr>
          <w:color w:val="000000"/>
        </w:rPr>
      </w:pPr>
      <w:bookmarkStart w:id="33" w:name="_Toc192002926"/>
      <w:r>
        <w:rPr>
          <w:color w:val="000000"/>
        </w:rPr>
        <w:lastRenderedPageBreak/>
        <w:t>6.Recommendations</w:t>
      </w:r>
      <w:bookmarkEnd w:id="33"/>
    </w:p>
    <w:p w14:paraId="6CAF339D" w14:textId="77777777" w:rsidR="00727737" w:rsidRPr="000D4575" w:rsidRDefault="00000000" w:rsidP="000D4575">
      <w:pPr>
        <w:pStyle w:val="Heading2"/>
        <w:numPr>
          <w:ilvl w:val="0"/>
          <w:numId w:val="0"/>
        </w:numPr>
        <w:rPr>
          <w:color w:val="auto"/>
        </w:rPr>
      </w:pPr>
      <w:bookmarkStart w:id="34" w:name="_heading=h.a0do0783c5fn" w:colFirst="0" w:colLast="0"/>
      <w:bookmarkStart w:id="35" w:name="_Toc192002927"/>
      <w:bookmarkEnd w:id="34"/>
      <w:r w:rsidRPr="000D4575">
        <w:rPr>
          <w:color w:val="auto"/>
        </w:rPr>
        <w:t>6.1 Integrate Continuous Legal Review Processes</w:t>
      </w:r>
      <w:bookmarkEnd w:id="35"/>
    </w:p>
    <w:p w14:paraId="185BEF12" w14:textId="77777777" w:rsidR="00727737" w:rsidRDefault="00000000">
      <w:pPr>
        <w:numPr>
          <w:ilvl w:val="0"/>
          <w:numId w:val="15"/>
        </w:numPr>
        <w:spacing w:before="240" w:after="0"/>
        <w:ind w:right="0"/>
        <w:rPr>
          <w:color w:val="000000"/>
        </w:rPr>
      </w:pPr>
      <w:r>
        <w:rPr>
          <w:b/>
          <w:color w:val="000000"/>
        </w:rPr>
        <w:t>Ongoing Legal Audits</w:t>
      </w:r>
      <w:r>
        <w:rPr>
          <w:color w:val="000000"/>
        </w:rPr>
        <w:t>: Implement regular legal audits to assess compliance with evolving regulations in renewable energy, data privacy, AI, and environmental laws. This proactive approach helps identify potential gaps early and adjust practices accordingly.</w:t>
      </w:r>
    </w:p>
    <w:p w14:paraId="19EF41B6" w14:textId="77777777" w:rsidR="00727737" w:rsidRDefault="00000000">
      <w:pPr>
        <w:numPr>
          <w:ilvl w:val="0"/>
          <w:numId w:val="15"/>
        </w:numPr>
        <w:spacing w:after="240"/>
        <w:ind w:right="0"/>
        <w:rPr>
          <w:color w:val="000000"/>
        </w:rPr>
      </w:pPr>
      <w:r>
        <w:rPr>
          <w:b/>
          <w:color w:val="000000"/>
        </w:rPr>
        <w:t>Dedicated Compliance Team</w:t>
      </w:r>
      <w:r>
        <w:rPr>
          <w:color w:val="000000"/>
        </w:rPr>
        <w:t>: Establish a dedicated team responsible for tracking legal requirements, conducting compliance assessments, and ensuring adherence to relevant regulations throughout the project’s lifecycle.</w:t>
      </w:r>
    </w:p>
    <w:p w14:paraId="0AB89120" w14:textId="77777777" w:rsidR="00727737" w:rsidRPr="000D4575" w:rsidRDefault="00000000" w:rsidP="000D4575">
      <w:pPr>
        <w:pStyle w:val="Heading2"/>
        <w:numPr>
          <w:ilvl w:val="0"/>
          <w:numId w:val="0"/>
        </w:numPr>
        <w:rPr>
          <w:color w:val="auto"/>
        </w:rPr>
      </w:pPr>
      <w:bookmarkStart w:id="36" w:name="_heading=h.k66tjf999i4v" w:colFirst="0" w:colLast="0"/>
      <w:bookmarkStart w:id="37" w:name="_Toc192002928"/>
      <w:bookmarkEnd w:id="36"/>
      <w:r w:rsidRPr="000D4575">
        <w:rPr>
          <w:color w:val="auto"/>
        </w:rPr>
        <w:t>6.2 Engage Legal Experts and Consultants</w:t>
      </w:r>
      <w:bookmarkEnd w:id="37"/>
    </w:p>
    <w:p w14:paraId="65A44054" w14:textId="77777777" w:rsidR="00727737" w:rsidRDefault="00000000">
      <w:pPr>
        <w:numPr>
          <w:ilvl w:val="0"/>
          <w:numId w:val="25"/>
        </w:numPr>
        <w:spacing w:before="240" w:after="0"/>
        <w:ind w:right="0"/>
        <w:rPr>
          <w:color w:val="000000"/>
        </w:rPr>
      </w:pPr>
      <w:r>
        <w:rPr>
          <w:b/>
          <w:color w:val="000000"/>
        </w:rPr>
        <w:t>External Legal Counsel</w:t>
      </w:r>
      <w:r>
        <w:rPr>
          <w:color w:val="000000"/>
        </w:rPr>
        <w:t xml:space="preserve">: Engage legal experts specializing in energy law, data protection, and AI/IoT technologies. These professionals can provide insights on complex regulations, help navigate jurisdictional </w:t>
      </w:r>
      <w:proofErr w:type="gramStart"/>
      <w:r>
        <w:rPr>
          <w:color w:val="000000"/>
        </w:rPr>
        <w:t>differences, and</w:t>
      </w:r>
      <w:proofErr w:type="gramEnd"/>
      <w:r>
        <w:rPr>
          <w:color w:val="000000"/>
        </w:rPr>
        <w:t xml:space="preserve"> advise on compliance risks.</w:t>
      </w:r>
    </w:p>
    <w:p w14:paraId="6944D032" w14:textId="77777777" w:rsidR="00727737" w:rsidRDefault="00000000">
      <w:pPr>
        <w:numPr>
          <w:ilvl w:val="0"/>
          <w:numId w:val="25"/>
        </w:numPr>
        <w:spacing w:after="240"/>
        <w:ind w:right="0"/>
        <w:rPr>
          <w:color w:val="000000"/>
        </w:rPr>
      </w:pPr>
      <w:r>
        <w:rPr>
          <w:b/>
          <w:color w:val="000000"/>
        </w:rPr>
        <w:t>Specialized Consultants</w:t>
      </w:r>
      <w:r>
        <w:rPr>
          <w:color w:val="000000"/>
        </w:rPr>
        <w:t>: In areas like cybersecurity, environmental laws, and AI regulations, bring in consultants with domain-specific expertise to ensure technical solutions comply with legal frameworks.</w:t>
      </w:r>
    </w:p>
    <w:p w14:paraId="0FF40DC5" w14:textId="77777777" w:rsidR="00727737" w:rsidRPr="000D4575" w:rsidRDefault="00000000" w:rsidP="000D4575">
      <w:pPr>
        <w:pStyle w:val="Heading2"/>
        <w:numPr>
          <w:ilvl w:val="0"/>
          <w:numId w:val="0"/>
        </w:numPr>
        <w:rPr>
          <w:color w:val="auto"/>
        </w:rPr>
      </w:pPr>
      <w:bookmarkStart w:id="38" w:name="_heading=h.7a3fz2sj77aj" w:colFirst="0" w:colLast="0"/>
      <w:bookmarkStart w:id="39" w:name="_Toc192002929"/>
      <w:bookmarkEnd w:id="38"/>
      <w:r w:rsidRPr="000D4575">
        <w:rPr>
          <w:color w:val="auto"/>
        </w:rPr>
        <w:t>6.3 Stay Informed on Regulatory Changes</w:t>
      </w:r>
      <w:bookmarkEnd w:id="39"/>
    </w:p>
    <w:p w14:paraId="20C0FEDB" w14:textId="77777777" w:rsidR="00727737" w:rsidRDefault="00000000">
      <w:pPr>
        <w:numPr>
          <w:ilvl w:val="0"/>
          <w:numId w:val="7"/>
        </w:numPr>
        <w:spacing w:before="240" w:after="0"/>
        <w:ind w:right="0"/>
        <w:rPr>
          <w:color w:val="000000"/>
        </w:rPr>
      </w:pPr>
      <w:r>
        <w:rPr>
          <w:b/>
          <w:color w:val="000000"/>
        </w:rPr>
        <w:t>Regulatory Monitoring</w:t>
      </w:r>
      <w:r>
        <w:rPr>
          <w:color w:val="000000"/>
        </w:rPr>
        <w:t>: Set up a system to continuously monitor regulatory developments in the renewable energy and AI sectors. Subscribing to industry newsletters, attending conferences, and participating in forums can help keep the team updated on new laws or amendments.</w:t>
      </w:r>
    </w:p>
    <w:p w14:paraId="26FDEB8E" w14:textId="77777777" w:rsidR="00727737" w:rsidRDefault="00000000">
      <w:pPr>
        <w:numPr>
          <w:ilvl w:val="0"/>
          <w:numId w:val="7"/>
        </w:numPr>
        <w:spacing w:after="240"/>
        <w:ind w:right="0"/>
        <w:rPr>
          <w:color w:val="000000"/>
        </w:rPr>
      </w:pPr>
      <w:r>
        <w:rPr>
          <w:b/>
          <w:color w:val="000000"/>
        </w:rPr>
        <w:t>Collaboration with Industry Bodies</w:t>
      </w:r>
      <w:r>
        <w:rPr>
          <w:color w:val="000000"/>
        </w:rPr>
        <w:t>: Engage with renewable energy associations, legal forums, and industry groups to stay informed about proposed regulations and best practices that could impact the project.</w:t>
      </w:r>
    </w:p>
    <w:p w14:paraId="764271D0" w14:textId="77777777" w:rsidR="00727737" w:rsidRPr="000D4575" w:rsidRDefault="00000000" w:rsidP="000D4575">
      <w:pPr>
        <w:pStyle w:val="Heading2"/>
        <w:numPr>
          <w:ilvl w:val="0"/>
          <w:numId w:val="0"/>
        </w:numPr>
        <w:rPr>
          <w:color w:val="auto"/>
        </w:rPr>
      </w:pPr>
      <w:bookmarkStart w:id="40" w:name="_heading=h.69r761lkzgw4" w:colFirst="0" w:colLast="0"/>
      <w:bookmarkStart w:id="41" w:name="_Toc192002930"/>
      <w:bookmarkEnd w:id="40"/>
      <w:r w:rsidRPr="000D4575">
        <w:rPr>
          <w:color w:val="auto"/>
        </w:rPr>
        <w:t>6.4 Develop a Compliance Management Framework</w:t>
      </w:r>
      <w:bookmarkEnd w:id="41"/>
    </w:p>
    <w:p w14:paraId="6E15207C" w14:textId="77777777" w:rsidR="00727737" w:rsidRDefault="00000000">
      <w:pPr>
        <w:numPr>
          <w:ilvl w:val="0"/>
          <w:numId w:val="12"/>
        </w:numPr>
        <w:spacing w:before="240" w:after="0"/>
        <w:ind w:right="0"/>
        <w:rPr>
          <w:color w:val="000000"/>
        </w:rPr>
      </w:pPr>
      <w:r>
        <w:rPr>
          <w:b/>
          <w:color w:val="000000"/>
        </w:rPr>
        <w:t>Compliance Training</w:t>
      </w:r>
      <w:r>
        <w:rPr>
          <w:color w:val="000000"/>
        </w:rPr>
        <w:t>: Provide regular training sessions for all project stakeholders, including technical teams, on legal requirements and best practices for compliance. This ensures that everyone is aware of their responsibilities in maintaining regulatory standards.</w:t>
      </w:r>
    </w:p>
    <w:p w14:paraId="3B8C32DA" w14:textId="77777777" w:rsidR="00727737" w:rsidRDefault="00000000">
      <w:pPr>
        <w:numPr>
          <w:ilvl w:val="0"/>
          <w:numId w:val="12"/>
        </w:numPr>
        <w:spacing w:after="240"/>
        <w:ind w:right="0"/>
        <w:rPr>
          <w:color w:val="000000"/>
        </w:rPr>
      </w:pPr>
      <w:r>
        <w:rPr>
          <w:b/>
          <w:color w:val="000000"/>
        </w:rPr>
        <w:t>Automated Compliance Tools</w:t>
      </w:r>
      <w:r>
        <w:rPr>
          <w:color w:val="000000"/>
        </w:rPr>
        <w:t>: Implement software tools that can track regulatory changes, flag potential non-compliance issues, and ensure adherence to standards across multiple jurisdictions.</w:t>
      </w:r>
    </w:p>
    <w:p w14:paraId="0C87AE23" w14:textId="77777777" w:rsidR="00727737" w:rsidRPr="000D4575" w:rsidRDefault="00000000" w:rsidP="000D4575">
      <w:pPr>
        <w:pStyle w:val="Heading2"/>
        <w:numPr>
          <w:ilvl w:val="0"/>
          <w:numId w:val="0"/>
        </w:numPr>
        <w:rPr>
          <w:color w:val="auto"/>
        </w:rPr>
      </w:pPr>
      <w:bookmarkStart w:id="42" w:name="_heading=h.libd66y0y5oa" w:colFirst="0" w:colLast="0"/>
      <w:bookmarkStart w:id="43" w:name="_Toc192002931"/>
      <w:bookmarkEnd w:id="42"/>
      <w:r w:rsidRPr="000D4575">
        <w:rPr>
          <w:color w:val="auto"/>
        </w:rPr>
        <w:t>6.5 Engage with Regulatory Authorities Early</w:t>
      </w:r>
      <w:bookmarkEnd w:id="43"/>
    </w:p>
    <w:p w14:paraId="4C303F7E" w14:textId="77777777" w:rsidR="00727737" w:rsidRDefault="00000000">
      <w:pPr>
        <w:numPr>
          <w:ilvl w:val="0"/>
          <w:numId w:val="6"/>
        </w:numPr>
        <w:spacing w:before="240" w:after="0"/>
        <w:ind w:right="0"/>
        <w:rPr>
          <w:color w:val="000000"/>
        </w:rPr>
      </w:pPr>
      <w:r>
        <w:rPr>
          <w:b/>
          <w:color w:val="000000"/>
        </w:rPr>
        <w:t>Proactive Engagement</w:t>
      </w:r>
      <w:r>
        <w:rPr>
          <w:color w:val="000000"/>
        </w:rPr>
        <w:t>: Establish relationships with relevant regulatory bodies and seek guidance during the early stages of the project. Engaging authorities early can clarify potential regulatory challenges and streamline the approval process.</w:t>
      </w:r>
    </w:p>
    <w:p w14:paraId="7200A940" w14:textId="77777777" w:rsidR="00727737" w:rsidRDefault="00000000">
      <w:pPr>
        <w:numPr>
          <w:ilvl w:val="0"/>
          <w:numId w:val="6"/>
        </w:numPr>
        <w:spacing w:after="240"/>
        <w:ind w:right="0"/>
        <w:rPr>
          <w:color w:val="000000"/>
        </w:rPr>
      </w:pPr>
      <w:r>
        <w:rPr>
          <w:b/>
          <w:color w:val="000000"/>
        </w:rPr>
        <w:lastRenderedPageBreak/>
        <w:t>Pilot Approvals and Test Cases</w:t>
      </w:r>
      <w:r>
        <w:rPr>
          <w:color w:val="000000"/>
        </w:rPr>
        <w:t>: Before large-scale deployment, work with regulators to conduct pilot tests, ensuring that the project complies with local laws and guidelines.</w:t>
      </w:r>
    </w:p>
    <w:p w14:paraId="1E69EC58" w14:textId="77777777" w:rsidR="00727737" w:rsidRPr="000D4575" w:rsidRDefault="00000000" w:rsidP="000D4575">
      <w:pPr>
        <w:pStyle w:val="Heading2"/>
        <w:numPr>
          <w:ilvl w:val="0"/>
          <w:numId w:val="0"/>
        </w:numPr>
        <w:rPr>
          <w:color w:val="auto"/>
        </w:rPr>
      </w:pPr>
      <w:bookmarkStart w:id="44" w:name="_heading=h.ag6ns0ert8or" w:colFirst="0" w:colLast="0"/>
      <w:bookmarkStart w:id="45" w:name="_Toc192002932"/>
      <w:bookmarkEnd w:id="44"/>
      <w:r w:rsidRPr="000D4575">
        <w:rPr>
          <w:color w:val="auto"/>
        </w:rPr>
        <w:t>6.6 Implement Data Protection and Cybersecurity Best Practices</w:t>
      </w:r>
      <w:bookmarkEnd w:id="45"/>
    </w:p>
    <w:p w14:paraId="609CBB9E" w14:textId="77777777" w:rsidR="00727737" w:rsidRDefault="00000000">
      <w:pPr>
        <w:numPr>
          <w:ilvl w:val="0"/>
          <w:numId w:val="21"/>
        </w:numPr>
        <w:spacing w:before="240" w:after="0"/>
        <w:ind w:right="0"/>
        <w:rPr>
          <w:color w:val="000000"/>
        </w:rPr>
      </w:pPr>
      <w:r>
        <w:rPr>
          <w:b/>
          <w:color w:val="000000"/>
        </w:rPr>
        <w:t>Data Privacy by Design</w:t>
      </w:r>
      <w:r>
        <w:rPr>
          <w:color w:val="000000"/>
        </w:rPr>
        <w:t xml:space="preserve">: Ensure that all systems, from sensors to data </w:t>
      </w:r>
      <w:proofErr w:type="spellStart"/>
      <w:r>
        <w:rPr>
          <w:color w:val="000000"/>
        </w:rPr>
        <w:t>centers</w:t>
      </w:r>
      <w:proofErr w:type="spellEnd"/>
      <w:r>
        <w:rPr>
          <w:color w:val="000000"/>
        </w:rPr>
        <w:t>, are designed with data privacy and security as a priority. Use encryption, access control, and secure communication protocols to protect sensitive data.</w:t>
      </w:r>
    </w:p>
    <w:p w14:paraId="77D67975" w14:textId="77777777" w:rsidR="00727737" w:rsidRDefault="00000000">
      <w:pPr>
        <w:numPr>
          <w:ilvl w:val="0"/>
          <w:numId w:val="21"/>
        </w:numPr>
        <w:spacing w:after="240"/>
        <w:ind w:right="0"/>
        <w:rPr>
          <w:color w:val="000000"/>
        </w:rPr>
      </w:pPr>
      <w:r>
        <w:rPr>
          <w:b/>
          <w:color w:val="000000"/>
        </w:rPr>
        <w:t>Cybersecurity Framework</w:t>
      </w:r>
      <w:r>
        <w:rPr>
          <w:color w:val="000000"/>
        </w:rPr>
        <w:t>: Adopt an industry-standard cybersecurity framework, such as ISO/IEC 27001, to mitigate the risk of data breaches or cyberattacks that could lead to non-compliance with data protection laws.</w:t>
      </w:r>
    </w:p>
    <w:p w14:paraId="79FE6E45" w14:textId="77777777" w:rsidR="00727737" w:rsidRDefault="00727737">
      <w:pPr>
        <w:rPr>
          <w:color w:val="000000"/>
        </w:rPr>
      </w:pPr>
    </w:p>
    <w:p w14:paraId="30D93525" w14:textId="77777777" w:rsidR="00727737" w:rsidRDefault="00000000" w:rsidP="000D4575">
      <w:pPr>
        <w:pStyle w:val="Heading1"/>
        <w:numPr>
          <w:ilvl w:val="0"/>
          <w:numId w:val="0"/>
        </w:numPr>
        <w:ind w:left="720" w:hanging="720"/>
        <w:rPr>
          <w:color w:val="000000"/>
        </w:rPr>
      </w:pPr>
      <w:bookmarkStart w:id="46" w:name="_Toc192002933"/>
      <w:r>
        <w:rPr>
          <w:color w:val="000000"/>
        </w:rPr>
        <w:t>7.Conclusions</w:t>
      </w:r>
      <w:bookmarkEnd w:id="46"/>
    </w:p>
    <w:p w14:paraId="17D88B75" w14:textId="77777777" w:rsidR="00727737" w:rsidRDefault="00000000">
      <w:pPr>
        <w:spacing w:before="240" w:after="240"/>
        <w:ind w:right="0"/>
        <w:rPr>
          <w:color w:val="000000"/>
        </w:rPr>
      </w:pPr>
      <w:r>
        <w:rPr>
          <w:color w:val="000000"/>
        </w:rPr>
        <w:t>The ZERODEFECT4PV project represents a significant advancement in solar power monitoring, offering a more accurate, panel-level approach to identifying defects and improving energy production predictions. However, successful deployment and operation of the system require careful navigation of legal and regulatory landscapes, including compliance with renewable energy directives, data protection laws, and environmental regulations.</w:t>
      </w:r>
    </w:p>
    <w:p w14:paraId="696AD820" w14:textId="77777777" w:rsidR="00727737" w:rsidRDefault="00000000">
      <w:pPr>
        <w:spacing w:before="240" w:after="240"/>
        <w:ind w:right="0"/>
        <w:rPr>
          <w:color w:val="000000"/>
        </w:rPr>
      </w:pPr>
      <w:r>
        <w:rPr>
          <w:color w:val="000000"/>
        </w:rPr>
        <w:t>By implementing continuous legal review processes, engaging legal experts, and staying informed on regulatory changes, the project can mitigate risks related to compliance and technology deployment. Addressing the challenges of cybersecurity, system integration, and stakeholder engagement will be crucial for the project's long-term success and scalability. Through proactive management and adherence to legal and regulatory frameworks, ZERODEFECT4PV can achieve its goal of enhancing the efficiency and sustainability of solar energy systems.</w:t>
      </w:r>
    </w:p>
    <w:p w14:paraId="42F22E8C" w14:textId="77777777" w:rsidR="00727737" w:rsidRDefault="00000000" w:rsidP="000D4575">
      <w:pPr>
        <w:pStyle w:val="Heading1"/>
        <w:numPr>
          <w:ilvl w:val="0"/>
          <w:numId w:val="0"/>
        </w:numPr>
        <w:ind w:left="720" w:hanging="720"/>
        <w:rPr>
          <w:color w:val="000000"/>
        </w:rPr>
      </w:pPr>
      <w:bookmarkStart w:id="47" w:name="_Toc192002934"/>
      <w:r>
        <w:rPr>
          <w:color w:val="000000"/>
        </w:rPr>
        <w:t>8.References</w:t>
      </w:r>
      <w:bookmarkEnd w:id="47"/>
    </w:p>
    <w:p w14:paraId="5FF0926A" w14:textId="77777777" w:rsidR="00727737" w:rsidRDefault="00727737">
      <w:pPr>
        <w:spacing w:after="0"/>
        <w:rPr>
          <w:color w:val="000000"/>
          <w:sz w:val="20"/>
          <w:szCs w:val="20"/>
        </w:rPr>
      </w:pPr>
    </w:p>
    <w:p w14:paraId="2B2DD961" w14:textId="77777777" w:rsidR="00727737" w:rsidRDefault="00000000">
      <w:pPr>
        <w:numPr>
          <w:ilvl w:val="0"/>
          <w:numId w:val="5"/>
        </w:numPr>
        <w:spacing w:after="0"/>
        <w:rPr>
          <w:color w:val="000000"/>
        </w:rPr>
      </w:pPr>
      <w:r>
        <w:rPr>
          <w:color w:val="000000"/>
        </w:rPr>
        <w:t xml:space="preserve">https://eur-lex.europa.eu/eli/dir/2018/2001/oj </w:t>
      </w:r>
    </w:p>
    <w:p w14:paraId="18F93528" w14:textId="77777777" w:rsidR="00727737" w:rsidRDefault="00000000">
      <w:pPr>
        <w:numPr>
          <w:ilvl w:val="0"/>
          <w:numId w:val="5"/>
        </w:numPr>
        <w:spacing w:after="0"/>
        <w:rPr>
          <w:color w:val="000000"/>
        </w:rPr>
      </w:pPr>
      <w:r>
        <w:rPr>
          <w:color w:val="000000"/>
        </w:rPr>
        <w:t>Junaid Sattar Butt, The General Data Protection Regulation of 2016 (GDPR) Meets its Sibling the Artificial Intelligence Act of 2024: A Power Couple, or a Clash of Titans?</w:t>
      </w:r>
    </w:p>
    <w:p w14:paraId="2B790DFC" w14:textId="77777777" w:rsidR="00727737" w:rsidRDefault="00000000">
      <w:pPr>
        <w:numPr>
          <w:ilvl w:val="0"/>
          <w:numId w:val="5"/>
        </w:numPr>
        <w:spacing w:after="0"/>
        <w:rPr>
          <w:color w:val="000000"/>
        </w:rPr>
      </w:pPr>
      <w:r>
        <w:rPr>
          <w:color w:val="000000"/>
        </w:rPr>
        <w:t>Solar photovoltaic remote monitoring, Youssef DELLY</w:t>
      </w:r>
    </w:p>
    <w:p w14:paraId="5E1A36D7" w14:textId="77777777" w:rsidR="00727737" w:rsidRDefault="00000000">
      <w:pPr>
        <w:numPr>
          <w:ilvl w:val="0"/>
          <w:numId w:val="5"/>
        </w:numPr>
        <w:spacing w:after="0"/>
        <w:rPr>
          <w:color w:val="000000"/>
        </w:rPr>
      </w:pPr>
      <w:r>
        <w:rPr>
          <w:color w:val="000000"/>
        </w:rPr>
        <w:t xml:space="preserve">Work health and safety requirements for Solar PV </w:t>
      </w:r>
      <w:proofErr w:type="spellStart"/>
      <w:proofErr w:type="gramStart"/>
      <w:r>
        <w:rPr>
          <w:color w:val="000000"/>
        </w:rPr>
        <w:t>installers,Information</w:t>
      </w:r>
      <w:proofErr w:type="spellEnd"/>
      <w:proofErr w:type="gramEnd"/>
      <w:r>
        <w:rPr>
          <w:color w:val="000000"/>
        </w:rPr>
        <w:t xml:space="preserve"> Bulletin</w:t>
      </w:r>
    </w:p>
    <w:p w14:paraId="2EB6BC16" w14:textId="77777777" w:rsidR="00727737" w:rsidRDefault="00000000">
      <w:pPr>
        <w:numPr>
          <w:ilvl w:val="0"/>
          <w:numId w:val="5"/>
        </w:numPr>
        <w:spacing w:after="0"/>
        <w:rPr>
          <w:color w:val="000000"/>
        </w:rPr>
      </w:pPr>
      <w:r>
        <w:rPr>
          <w:color w:val="000000"/>
        </w:rPr>
        <w:t>https://solarpv1.com/iec-standards-for-solar-pv-systems/</w:t>
      </w:r>
    </w:p>
    <w:p w14:paraId="335A53A3" w14:textId="77777777" w:rsidR="00727737" w:rsidRDefault="00000000">
      <w:pPr>
        <w:numPr>
          <w:ilvl w:val="0"/>
          <w:numId w:val="5"/>
        </w:numPr>
        <w:spacing w:after="0"/>
        <w:rPr>
          <w:color w:val="000000"/>
        </w:rPr>
      </w:pPr>
      <w:r>
        <w:rPr>
          <w:color w:val="000000"/>
        </w:rPr>
        <w:t xml:space="preserve">Optimizing renewable energy systems through artificial intelligence: Review and </w:t>
      </w:r>
      <w:proofErr w:type="gramStart"/>
      <w:r>
        <w:rPr>
          <w:color w:val="000000"/>
        </w:rPr>
        <w:t>future prospects</w:t>
      </w:r>
      <w:proofErr w:type="gramEnd"/>
    </w:p>
    <w:p w14:paraId="2B475E2C" w14:textId="77777777" w:rsidR="00727737" w:rsidRDefault="00000000">
      <w:pPr>
        <w:numPr>
          <w:ilvl w:val="0"/>
          <w:numId w:val="5"/>
        </w:numPr>
        <w:spacing w:after="0"/>
        <w:rPr>
          <w:color w:val="000000"/>
        </w:rPr>
      </w:pPr>
      <w:r>
        <w:rPr>
          <w:color w:val="000000"/>
        </w:rPr>
        <w:t>https://www.projectfusion.com/regulatory-compliance-in-renewable-energy-projects/</w:t>
      </w:r>
    </w:p>
    <w:p w14:paraId="6BF47C2C" w14:textId="77777777" w:rsidR="00727737" w:rsidRDefault="00000000">
      <w:pPr>
        <w:numPr>
          <w:ilvl w:val="0"/>
          <w:numId w:val="5"/>
        </w:numPr>
        <w:spacing w:after="0"/>
        <w:rPr>
          <w:color w:val="000000"/>
        </w:rPr>
      </w:pPr>
      <w:r>
        <w:rPr>
          <w:color w:val="000000"/>
        </w:rPr>
        <w:lastRenderedPageBreak/>
        <w:t>www.anre.ro</w:t>
      </w:r>
    </w:p>
    <w:p w14:paraId="1D4C9B0C" w14:textId="77777777" w:rsidR="00727737" w:rsidRDefault="00000000">
      <w:pPr>
        <w:numPr>
          <w:ilvl w:val="0"/>
          <w:numId w:val="5"/>
        </w:numPr>
        <w:spacing w:after="0"/>
        <w:rPr>
          <w:color w:val="000000"/>
        </w:rPr>
      </w:pPr>
      <w:r>
        <w:rPr>
          <w:color w:val="000000"/>
        </w:rPr>
        <w:t>www.anpm.ro</w:t>
      </w:r>
    </w:p>
    <w:p w14:paraId="1EE4E6F7" w14:textId="77777777" w:rsidR="00727737" w:rsidRDefault="00000000">
      <w:pPr>
        <w:numPr>
          <w:ilvl w:val="0"/>
          <w:numId w:val="5"/>
        </w:numPr>
        <w:spacing w:after="0"/>
        <w:rPr>
          <w:color w:val="000000"/>
        </w:rPr>
      </w:pPr>
      <w:r>
        <w:rPr>
          <w:color w:val="000000"/>
        </w:rPr>
        <w:t>https://climate-laws.org/documents/law-no-220-of-october-27-2008-republished-for-establishing-the-system-of-promoting-energy-from-renewable-energy-sources-2b0b?id=law-no-220-2008-for-the-promotion-of-energy-production-from-renewable-energy-sources_6eb8</w:t>
      </w:r>
    </w:p>
    <w:p w14:paraId="4E7D4FC5" w14:textId="77777777" w:rsidR="00727737" w:rsidRDefault="00000000">
      <w:pPr>
        <w:numPr>
          <w:ilvl w:val="0"/>
          <w:numId w:val="5"/>
        </w:numPr>
        <w:spacing w:after="0"/>
        <w:rPr>
          <w:color w:val="000000"/>
          <w:sz w:val="24"/>
          <w:szCs w:val="24"/>
        </w:rPr>
      </w:pPr>
      <w:r>
        <w:rPr>
          <w:color w:val="000000"/>
        </w:rPr>
        <w:t xml:space="preserve">Ciprian CRISTEA, Maria CRISTE1, Iulian BIROU, Radu-Adrian TÎRNOVAN “Economic </w:t>
      </w:r>
      <w:proofErr w:type="spellStart"/>
      <w:r>
        <w:rPr>
          <w:color w:val="000000"/>
        </w:rPr>
        <w:t>Assement</w:t>
      </w:r>
      <w:proofErr w:type="spellEnd"/>
      <w:r>
        <w:rPr>
          <w:color w:val="000000"/>
        </w:rPr>
        <w:t xml:space="preserve"> of grid -connected residential solar photovoltaic systems introduced under Romania’s new regulation” </w:t>
      </w:r>
    </w:p>
    <w:p w14:paraId="386A21B1" w14:textId="77777777" w:rsidR="00727737" w:rsidRDefault="00000000">
      <w:pPr>
        <w:numPr>
          <w:ilvl w:val="0"/>
          <w:numId w:val="5"/>
        </w:numPr>
        <w:spacing w:after="0"/>
        <w:rPr>
          <w:color w:val="000000"/>
        </w:rPr>
      </w:pPr>
      <w:r>
        <w:rPr>
          <w:color w:val="000000"/>
        </w:rPr>
        <w:t>https://iclg.com/practice-areas/renewable-energy-laws-and-regulations/romania</w:t>
      </w:r>
    </w:p>
    <w:p w14:paraId="5A9B5712" w14:textId="77777777" w:rsidR="00727737" w:rsidRDefault="00000000">
      <w:pPr>
        <w:numPr>
          <w:ilvl w:val="0"/>
          <w:numId w:val="5"/>
        </w:numPr>
        <w:spacing w:after="0"/>
        <w:rPr>
          <w:color w:val="000000"/>
        </w:rPr>
      </w:pPr>
      <w:r>
        <w:rPr>
          <w:color w:val="000000"/>
        </w:rPr>
        <w:t xml:space="preserve"> https://oportunitati-ue.gov.ro/en/program/programul-electricup/ </w:t>
      </w:r>
    </w:p>
    <w:p w14:paraId="14682A3A" w14:textId="77777777" w:rsidR="00727737" w:rsidRDefault="00000000">
      <w:pPr>
        <w:numPr>
          <w:ilvl w:val="0"/>
          <w:numId w:val="5"/>
        </w:numPr>
        <w:spacing w:after="0"/>
        <w:rPr>
          <w:color w:val="000000"/>
        </w:rPr>
      </w:pPr>
      <w:proofErr w:type="gramStart"/>
      <w:r>
        <w:rPr>
          <w:color w:val="000000"/>
        </w:rPr>
        <w:t>caneurope.org ,Romania</w:t>
      </w:r>
      <w:proofErr w:type="gramEnd"/>
      <w:r>
        <w:rPr>
          <w:color w:val="000000"/>
        </w:rPr>
        <w:t xml:space="preserve"> ’s Solar Rooftop Country Profile ,Climate Action Network Europe</w:t>
      </w:r>
    </w:p>
    <w:p w14:paraId="7B28C0FE" w14:textId="77777777" w:rsidR="00727737" w:rsidRDefault="00000000">
      <w:pPr>
        <w:numPr>
          <w:ilvl w:val="0"/>
          <w:numId w:val="5"/>
        </w:numPr>
        <w:spacing w:after="0"/>
        <w:rPr>
          <w:color w:val="000000"/>
        </w:rPr>
      </w:pPr>
      <w:r>
        <w:rPr>
          <w:color w:val="000000"/>
        </w:rPr>
        <w:t>https://www.bundesnetzagentur.de/DE/Fachthemen/ElektrizitaetundGas/ErneuerbareEnergien/EEG_Foerderung/start.html</w:t>
      </w:r>
    </w:p>
    <w:p w14:paraId="6580CCE1" w14:textId="77777777" w:rsidR="00727737" w:rsidRDefault="00000000">
      <w:pPr>
        <w:numPr>
          <w:ilvl w:val="0"/>
          <w:numId w:val="5"/>
        </w:numPr>
        <w:spacing w:after="0"/>
        <w:rPr>
          <w:color w:val="000000"/>
        </w:rPr>
      </w:pPr>
      <w:r>
        <w:rPr>
          <w:color w:val="000000"/>
        </w:rPr>
        <w:t>https://www.gesetze-im-nternet.de/eeg_2014/BJNR106610014.html#BJNR106610014BJNG000100000</w:t>
      </w:r>
    </w:p>
    <w:p w14:paraId="1940B047" w14:textId="77777777" w:rsidR="00727737" w:rsidRDefault="00000000">
      <w:pPr>
        <w:numPr>
          <w:ilvl w:val="0"/>
          <w:numId w:val="5"/>
        </w:numPr>
        <w:spacing w:after="0"/>
        <w:rPr>
          <w:color w:val="000000"/>
        </w:rPr>
      </w:pPr>
      <w:r>
        <w:rPr>
          <w:color w:val="000000"/>
        </w:rPr>
        <w:t>https://www.bundesregierung.de/breg-de/aktuelles/eeg-umlage-faellt-weg-2011728</w:t>
      </w:r>
    </w:p>
    <w:p w14:paraId="61B753C8" w14:textId="77777777" w:rsidR="00727737" w:rsidRDefault="00000000">
      <w:pPr>
        <w:numPr>
          <w:ilvl w:val="0"/>
          <w:numId w:val="5"/>
        </w:numPr>
        <w:spacing w:after="0"/>
        <w:rPr>
          <w:color w:val="000000"/>
        </w:rPr>
      </w:pPr>
      <w:r>
        <w:rPr>
          <w:color w:val="000000"/>
        </w:rPr>
        <w:t>https://www.gesetze-im-internet.de/eeg_2014/BJNR106610014.html#BJNR106610014BJNG000100000</w:t>
      </w:r>
    </w:p>
    <w:p w14:paraId="5115FE24" w14:textId="77777777" w:rsidR="00727737" w:rsidRDefault="00000000">
      <w:pPr>
        <w:numPr>
          <w:ilvl w:val="0"/>
          <w:numId w:val="5"/>
        </w:numPr>
        <w:spacing w:after="0"/>
        <w:rPr>
          <w:color w:val="000000"/>
        </w:rPr>
      </w:pPr>
      <w:r>
        <w:rPr>
          <w:color w:val="000000"/>
        </w:rPr>
        <w:t>https://www.bundesregierung.de/breg-de/aktuelles/solarpaket-photovoltaik-balkonkraftwerke-2213726</w:t>
      </w:r>
    </w:p>
    <w:p w14:paraId="53C386CA" w14:textId="77777777" w:rsidR="00727737" w:rsidRDefault="00000000">
      <w:pPr>
        <w:numPr>
          <w:ilvl w:val="0"/>
          <w:numId w:val="5"/>
        </w:numPr>
        <w:spacing w:after="0"/>
        <w:rPr>
          <w:color w:val="000000"/>
        </w:rPr>
      </w:pPr>
      <w:r>
        <w:rPr>
          <w:color w:val="000000"/>
        </w:rPr>
        <w:t>https://www.marktstammdatenregister.de/MaStRHilfe/files/regHilfen/Registrierungshilfe_Balkonkraftwerk.pdf</w:t>
      </w:r>
    </w:p>
    <w:p w14:paraId="0F16D9D0" w14:textId="77777777" w:rsidR="00727737" w:rsidRDefault="00000000">
      <w:pPr>
        <w:numPr>
          <w:ilvl w:val="0"/>
          <w:numId w:val="5"/>
        </w:numPr>
        <w:spacing w:after="0"/>
        <w:rPr>
          <w:color w:val="000000"/>
        </w:rPr>
      </w:pPr>
      <w:r>
        <w:rPr>
          <w:color w:val="000000"/>
        </w:rPr>
        <w:t>https://www.bmwk.de/Redaktion/DE/Artikel/Energie/solarpaket-1.html</w:t>
      </w:r>
    </w:p>
    <w:p w14:paraId="7AAEBFA6" w14:textId="77777777" w:rsidR="00727737" w:rsidRDefault="00000000">
      <w:pPr>
        <w:numPr>
          <w:ilvl w:val="0"/>
          <w:numId w:val="5"/>
        </w:numPr>
        <w:spacing w:after="0"/>
        <w:rPr>
          <w:color w:val="000000"/>
        </w:rPr>
      </w:pPr>
      <w:r>
        <w:rPr>
          <w:color w:val="000000"/>
        </w:rPr>
        <w:t>https://eur-lex.europa.eu/legal-content/EN/TXT/?uri=CELEX%3A32024R1689</w:t>
      </w:r>
    </w:p>
    <w:p w14:paraId="1CFB4143" w14:textId="77777777" w:rsidR="00727737" w:rsidRDefault="00000000">
      <w:pPr>
        <w:numPr>
          <w:ilvl w:val="0"/>
          <w:numId w:val="5"/>
        </w:numPr>
        <w:rPr>
          <w:color w:val="000000"/>
        </w:rPr>
      </w:pPr>
      <w:r>
        <w:rPr>
          <w:color w:val="000000"/>
        </w:rPr>
        <w:t xml:space="preserve"> https://digital-strategy.ec.europa.eu/de/policies/regulatory-framework-ai</w:t>
      </w:r>
    </w:p>
    <w:p w14:paraId="6E0367DA" w14:textId="77777777" w:rsidR="00727737" w:rsidRDefault="00000000">
      <w:pPr>
        <w:sectPr w:rsidR="00727737">
          <w:headerReference w:type="default" r:id="rId9"/>
          <w:footerReference w:type="default" r:id="rId10"/>
          <w:headerReference w:type="first" r:id="rId11"/>
          <w:footerReference w:type="first" r:id="rId12"/>
          <w:pgSz w:w="11906" w:h="16838"/>
          <w:pgMar w:top="1673" w:right="1418" w:bottom="851" w:left="1418" w:header="720" w:footer="491" w:gutter="0"/>
          <w:pgNumType w:start="1"/>
          <w:cols w:space="708"/>
          <w:titlePg/>
        </w:sectPr>
      </w:pPr>
      <w:r>
        <w:br w:type="page"/>
      </w:r>
    </w:p>
    <w:p w14:paraId="13B3FF19" w14:textId="77777777" w:rsidR="00727737" w:rsidRDefault="00000000">
      <w:pPr>
        <w:pBdr>
          <w:top w:val="nil"/>
          <w:left w:val="nil"/>
          <w:bottom w:val="nil"/>
          <w:right w:val="nil"/>
          <w:between w:val="nil"/>
        </w:pBdr>
        <w:spacing w:after="240"/>
        <w:rPr>
          <w:rFonts w:cs="Open Sans"/>
          <w:b/>
          <w:smallCaps/>
          <w:color w:val="0489CE"/>
        </w:rPr>
      </w:pPr>
      <w:r>
        <w:rPr>
          <w:rFonts w:cs="Open Sans"/>
          <w:b/>
          <w:smallCaps/>
          <w:noProof/>
          <w:color w:val="0489CE"/>
        </w:rPr>
        <w:lastRenderedPageBreak/>
        <w:drawing>
          <wp:anchor distT="0" distB="0" distL="114300" distR="114300" simplePos="0" relativeHeight="251658240" behindDoc="0" locked="0" layoutInCell="1" hidden="0" allowOverlap="1" wp14:anchorId="2DBDBE08" wp14:editId="6330052E">
            <wp:simplePos x="0" y="0"/>
            <wp:positionH relativeFrom="margin">
              <wp:posOffset>-1447</wp:posOffset>
            </wp:positionH>
            <wp:positionV relativeFrom="margin">
              <wp:posOffset>284582</wp:posOffset>
            </wp:positionV>
            <wp:extent cx="927735" cy="612775"/>
            <wp:effectExtent l="0" t="0" r="0" b="0"/>
            <wp:wrapSquare wrapText="bothSides" distT="0" distB="0" distL="114300" distR="114300"/>
            <wp:docPr id="18" name="image5.jpg" descr="european union flag"/>
            <wp:cNvGraphicFramePr/>
            <a:graphic xmlns:a="http://schemas.openxmlformats.org/drawingml/2006/main">
              <a:graphicData uri="http://schemas.openxmlformats.org/drawingml/2006/picture">
                <pic:pic xmlns:pic="http://schemas.openxmlformats.org/drawingml/2006/picture">
                  <pic:nvPicPr>
                    <pic:cNvPr id="0" name="image5.jpg" descr="european union flag"/>
                    <pic:cNvPicPr preferRelativeResize="0"/>
                  </pic:nvPicPr>
                  <pic:blipFill>
                    <a:blip r:embed="rId13"/>
                    <a:srcRect/>
                    <a:stretch>
                      <a:fillRect/>
                    </a:stretch>
                  </pic:blipFill>
                  <pic:spPr>
                    <a:xfrm>
                      <a:off x="0" y="0"/>
                      <a:ext cx="927735" cy="612775"/>
                    </a:xfrm>
                    <a:prstGeom prst="rect">
                      <a:avLst/>
                    </a:prstGeom>
                    <a:ln/>
                  </pic:spPr>
                </pic:pic>
              </a:graphicData>
            </a:graphic>
          </wp:anchor>
        </w:drawing>
      </w:r>
      <w:r>
        <w:rPr>
          <w:rFonts w:cs="Open Sans"/>
          <w:b/>
          <w:smallCaps/>
          <w:color w:val="0489CE"/>
        </w:rPr>
        <w:t>funding</w:t>
      </w:r>
    </w:p>
    <w:p w14:paraId="7B4E20F2" w14:textId="77777777" w:rsidR="00727737" w:rsidRDefault="00727737">
      <w:pPr>
        <w:pBdr>
          <w:top w:val="nil"/>
          <w:left w:val="nil"/>
          <w:bottom w:val="nil"/>
          <w:right w:val="nil"/>
          <w:between w:val="nil"/>
        </w:pBdr>
        <w:spacing w:after="240"/>
        <w:rPr>
          <w:rFonts w:cs="Open Sans"/>
          <w:b/>
          <w:smallCaps/>
          <w:color w:val="0489CE"/>
        </w:rPr>
      </w:pPr>
    </w:p>
    <w:p w14:paraId="7F52CCF6" w14:textId="77777777" w:rsidR="00727737" w:rsidRDefault="00727737">
      <w:pPr>
        <w:pBdr>
          <w:top w:val="nil"/>
          <w:left w:val="nil"/>
          <w:bottom w:val="nil"/>
          <w:right w:val="nil"/>
          <w:between w:val="nil"/>
        </w:pBdr>
        <w:spacing w:after="240"/>
        <w:rPr>
          <w:rFonts w:cs="Open Sans"/>
          <w:b/>
          <w:smallCaps/>
          <w:color w:val="0489CE"/>
        </w:rPr>
      </w:pPr>
    </w:p>
    <w:p w14:paraId="268DECAF" w14:textId="77777777" w:rsidR="00727737" w:rsidRDefault="00000000">
      <w:pPr>
        <w:pBdr>
          <w:top w:val="nil"/>
          <w:left w:val="nil"/>
          <w:bottom w:val="nil"/>
          <w:right w:val="nil"/>
          <w:between w:val="nil"/>
        </w:pBdr>
        <w:tabs>
          <w:tab w:val="center" w:pos="4536"/>
          <w:tab w:val="right" w:pos="9072"/>
        </w:tabs>
        <w:rPr>
          <w:rFonts w:cs="Open Sans"/>
          <w:color w:val="575756"/>
        </w:rPr>
      </w:pPr>
      <w:r>
        <w:rPr>
          <w:rFonts w:cs="Open Sans"/>
          <w:color w:val="575756"/>
        </w:rPr>
        <w:t xml:space="preserve">This document was created as part of the ERA-Net Smart Energy Systems project </w:t>
      </w:r>
      <w:r>
        <w:t>ZERODEFECT4PV</w:t>
      </w:r>
      <w:r>
        <w:rPr>
          <w:rFonts w:cs="Open Sans"/>
          <w:color w:val="575756"/>
        </w:rPr>
        <w:t>, funded from the European Union’s Horizon 2020 research and innovation programme under grant agreement no. 646039 (SG+) / no. 775970 (</w:t>
      </w:r>
      <w:proofErr w:type="spellStart"/>
      <w:r>
        <w:rPr>
          <w:rFonts w:cs="Open Sans"/>
          <w:color w:val="575756"/>
        </w:rPr>
        <w:t>RegSys</w:t>
      </w:r>
      <w:proofErr w:type="spellEnd"/>
      <w:r>
        <w:rPr>
          <w:rFonts w:cs="Open Sans"/>
          <w:color w:val="575756"/>
        </w:rPr>
        <w:t>) / no. 883973 (</w:t>
      </w:r>
      <w:proofErr w:type="spellStart"/>
      <w:r>
        <w:rPr>
          <w:rFonts w:cs="Open Sans"/>
          <w:color w:val="575756"/>
        </w:rPr>
        <w:t>EnerDigit</w:t>
      </w:r>
      <w:proofErr w:type="spellEnd"/>
      <w:r>
        <w:rPr>
          <w:rFonts w:cs="Open Sans"/>
          <w:color w:val="575756"/>
        </w:rPr>
        <w:t>).</w:t>
      </w:r>
    </w:p>
    <w:sectPr w:rsidR="00727737">
      <w:footerReference w:type="first" r:id="rId14"/>
      <w:pgSz w:w="11906" w:h="16838"/>
      <w:pgMar w:top="1673" w:right="1418" w:bottom="851" w:left="1418" w:header="720" w:footer="49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945" w14:textId="77777777" w:rsidR="00661F25" w:rsidRDefault="00661F25">
      <w:pPr>
        <w:spacing w:after="0"/>
      </w:pPr>
      <w:r>
        <w:separator/>
      </w:r>
    </w:p>
  </w:endnote>
  <w:endnote w:type="continuationSeparator" w:id="0">
    <w:p w14:paraId="089DB737" w14:textId="77777777" w:rsidR="00661F25" w:rsidRDefault="00661F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A3D4C0D-08A5-4636-87BF-1DEBDBA4800B}"/>
    <w:embedBold r:id="rId2" w:fontKey="{90194EDC-13A6-4B7A-AA81-A0122096DB3E}"/>
    <w:embedItalic r:id="rId3" w:fontKey="{314B31F2-865D-49C2-8DF9-50C4DA9CA25C}"/>
    <w:embedBoldItalic r:id="rId4" w:fontKey="{B35B5195-AA86-4360-9946-CA68FD8FE4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DAF336E-FAAD-473F-99A4-B01D495A3451}"/>
    <w:embedBold r:id="rId6" w:fontKey="{D8FB3F13-548D-41B5-85C6-0E7177410ADA}"/>
  </w:font>
  <w:font w:name="Verdana">
    <w:panose1 w:val="020B0604030504040204"/>
    <w:charset w:val="00"/>
    <w:family w:val="swiss"/>
    <w:pitch w:val="variable"/>
    <w:sig w:usb0="A00006FF" w:usb1="4000205B" w:usb2="00000010" w:usb3="00000000" w:csb0="0000019F" w:csb1="00000000"/>
    <w:embedRegular r:id="rId7" w:fontKey="{29850818-EEB9-4D9A-B5D2-9AECA1BF9733}"/>
    <w:embedBold r:id="rId8" w:fontKey="{66C07594-675A-48C6-813A-7828D93D4130}"/>
  </w:font>
  <w:font w:name="Tahoma">
    <w:panose1 w:val="020B0604030504040204"/>
    <w:charset w:val="00"/>
    <w:family w:val="swiss"/>
    <w:pitch w:val="variable"/>
    <w:sig w:usb0="E1002EFF" w:usb1="C000605B" w:usb2="00000029" w:usb3="00000000" w:csb0="000101FF" w:csb1="00000000"/>
    <w:embedRegular r:id="rId9" w:fontKey="{32FF7172-4CB8-4399-AAD4-DF68F80CAC7B}"/>
  </w:font>
  <w:font w:name="Gill Sans">
    <w:panose1 w:val="00000000000000000000"/>
    <w:charset w:val="00"/>
    <w:family w:val="swiss"/>
    <w:notTrueType/>
    <w:pitch w:val="variable"/>
    <w:sig w:usb0="00000003" w:usb1="00000000" w:usb2="00000000" w:usb3="00000000" w:csb0="00000001" w:csb1="00000000"/>
  </w:font>
  <w:font w:name="Demos E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0" w:fontKey="{72035152-CE04-487A-8A0D-A1F6F387E710}"/>
    <w:embedBold r:id="rId11" w:fontKey="{DC899F69-CD6C-4C74-8551-86231C911434}"/>
  </w:font>
  <w:font w:name="Futura Lt BT">
    <w:charset w:val="00"/>
    <w:family w:val="swiss"/>
    <w:pitch w:val="variable"/>
    <w:sig w:usb0="00000087" w:usb1="00000000" w:usb2="00000000" w:usb3="00000000" w:csb0="0000001B" w:csb1="00000000"/>
  </w:font>
  <w:font w:name="Myriad Pro">
    <w:charset w:val="00"/>
    <w:family w:val="auto"/>
    <w:pitch w:val="variable"/>
    <w:sig w:usb0="00000001"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12" w:fontKey="{55199E6C-E222-4EEC-AFF6-835EED2679A7}"/>
  </w:font>
  <w:font w:name="EC Square Sans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3FF83608-EEDB-4EF8-A434-71B41E13C859}"/>
    <w:embedItalic r:id="rId14" w:fontKey="{8F2AA004-84A0-49C9-8B25-94310AE6EB1E}"/>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853F" w14:textId="77777777" w:rsidR="00727737" w:rsidRDefault="00000000">
    <w:pPr>
      <w:pBdr>
        <w:top w:val="nil"/>
        <w:left w:val="nil"/>
        <w:bottom w:val="nil"/>
        <w:right w:val="nil"/>
        <w:between w:val="nil"/>
      </w:pBdr>
      <w:tabs>
        <w:tab w:val="center" w:pos="4536"/>
        <w:tab w:val="right" w:pos="9072"/>
      </w:tabs>
      <w:rPr>
        <w:rFonts w:cs="Open Sans"/>
        <w:color w:val="575756"/>
      </w:rPr>
    </w:pPr>
    <w:r>
      <w:rPr>
        <w:rFonts w:cs="Open Sans"/>
        <w:color w:val="575756"/>
        <w:sz w:val="20"/>
        <w:szCs w:val="20"/>
      </w:rPr>
      <w:t xml:space="preserve">Deliverable </w:t>
    </w:r>
    <w:r>
      <w:rPr>
        <w:sz w:val="20"/>
        <w:szCs w:val="20"/>
      </w:rPr>
      <w:t>2.3</w:t>
    </w:r>
    <w:r>
      <w:rPr>
        <w:rFonts w:cs="Open Sans"/>
        <w:color w:val="575756"/>
        <w:sz w:val="20"/>
        <w:szCs w:val="20"/>
      </w:rPr>
      <w:t xml:space="preserve"> | </w:t>
    </w:r>
    <w:r>
      <w:rPr>
        <w:sz w:val="20"/>
        <w:szCs w:val="20"/>
      </w:rPr>
      <w:t>Legal Requirements and Regulatory Analysis Report</w:t>
    </w:r>
    <w:r>
      <w:rPr>
        <w:rFonts w:cs="Open Sans"/>
        <w:color w:val="575756"/>
        <w:sz w:val="20"/>
        <w:szCs w:val="20"/>
      </w:rPr>
      <w:tab/>
    </w:r>
    <w:r>
      <w:rPr>
        <w:rFonts w:cs="Open Sans"/>
        <w:color w:val="575756"/>
      </w:rPr>
      <w:t xml:space="preserve">- </w:t>
    </w:r>
    <w:r>
      <w:rPr>
        <w:rFonts w:cs="Open Sans"/>
        <w:color w:val="575756"/>
      </w:rPr>
      <w:fldChar w:fldCharType="begin"/>
    </w:r>
    <w:r>
      <w:rPr>
        <w:rFonts w:cs="Open Sans"/>
        <w:color w:val="575756"/>
      </w:rPr>
      <w:instrText>PAGE</w:instrText>
    </w:r>
    <w:r>
      <w:rPr>
        <w:rFonts w:cs="Open Sans"/>
        <w:color w:val="575756"/>
      </w:rPr>
      <w:fldChar w:fldCharType="separate"/>
    </w:r>
    <w:r w:rsidR="000344AD">
      <w:rPr>
        <w:rFonts w:cs="Open Sans"/>
        <w:noProof/>
        <w:color w:val="575756"/>
      </w:rPr>
      <w:t>2</w:t>
    </w:r>
    <w:r>
      <w:rPr>
        <w:rFonts w:cs="Open Sans"/>
        <w:color w:val="575756"/>
      </w:rPr>
      <w:fldChar w:fldCharType="end"/>
    </w:r>
    <w:r>
      <w:rPr>
        <w:rFonts w:cs="Open Sans"/>
        <w:color w:val="57575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BD29" w14:textId="77777777" w:rsidR="00727737" w:rsidRDefault="00000000">
    <w:r>
      <w:rPr>
        <w:color w:val="28A639"/>
      </w:rPr>
      <w:t>ERA-Net Smart Energy Systems</w:t>
    </w:r>
    <w:r>
      <w:rPr>
        <w:noProof/>
      </w:rPr>
      <mc:AlternateContent>
        <mc:Choice Requires="wps">
          <w:drawing>
            <wp:anchor distT="0" distB="0" distL="114300" distR="114300" simplePos="0" relativeHeight="251660288" behindDoc="0" locked="0" layoutInCell="1" hidden="0" allowOverlap="1" wp14:anchorId="1AE21B15" wp14:editId="6F35B91C">
              <wp:simplePos x="0" y="0"/>
              <wp:positionH relativeFrom="column">
                <wp:posOffset>-253999</wp:posOffset>
              </wp:positionH>
              <wp:positionV relativeFrom="paragraph">
                <wp:posOffset>266700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187193" y="3780000"/>
                        <a:ext cx="6317615" cy="0"/>
                      </a:xfrm>
                      <a:prstGeom prst="straightConnector1">
                        <a:avLst/>
                      </a:prstGeom>
                      <a:noFill/>
                      <a:ln w="9525" cap="flat" cmpd="sng">
                        <a:solidFill>
                          <a:srgbClr val="23A534"/>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-253999</wp:posOffset>
              </wp:positionH>
              <wp:positionV relativeFrom="paragraph">
                <wp:posOffset>266700</wp:posOffset>
              </wp:positionV>
              <wp:extent cx="0" cy="12700"/>
              <wp:effectExtent b="0" l="0" r="0" t="0"/>
              <wp:wrapNone/>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98ED5AA" w14:textId="77777777" w:rsidR="00727737" w:rsidRDefault="00000000">
    <w:r>
      <w:t>This project has received funding in the framework of the joint programming initiative ERA-Net Smart Energy Systems, with support from the European Union’s Horizon 2020 research and innovation programme.</w:t>
    </w:r>
    <w:r>
      <w:rPr>
        <w:noProof/>
      </w:rPr>
      <w:drawing>
        <wp:anchor distT="0" distB="0" distL="114300" distR="114300" simplePos="0" relativeHeight="251661312" behindDoc="0" locked="0" layoutInCell="1" hidden="0" allowOverlap="1" wp14:anchorId="7B0B681F" wp14:editId="7FA65E53">
          <wp:simplePos x="0" y="0"/>
          <wp:positionH relativeFrom="column">
            <wp:posOffset>5166995</wp:posOffset>
          </wp:positionH>
          <wp:positionV relativeFrom="paragraph">
            <wp:posOffset>48895</wp:posOffset>
          </wp:positionV>
          <wp:extent cx="906780" cy="474980"/>
          <wp:effectExtent l="0" t="0" r="0" b="0"/>
          <wp:wrapSquare wrapText="bothSides" distT="0" distB="0" distL="114300" distR="114300"/>
          <wp:docPr id="14183048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06780" cy="4749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9A76" w14:textId="77777777" w:rsidR="00727737" w:rsidRDefault="00000000">
    <w:pPr>
      <w:pBdr>
        <w:top w:val="nil"/>
        <w:left w:val="nil"/>
        <w:bottom w:val="nil"/>
        <w:right w:val="nil"/>
        <w:between w:val="nil"/>
      </w:pBdr>
      <w:tabs>
        <w:tab w:val="center" w:pos="4536"/>
        <w:tab w:val="right" w:pos="9072"/>
        <w:tab w:val="center" w:pos="4252"/>
        <w:tab w:val="left" w:pos="5702"/>
      </w:tabs>
      <w:jc w:val="left"/>
      <w:rPr>
        <w:rFonts w:cs="Open Sans"/>
        <w:color w:val="575756"/>
      </w:rPr>
    </w:pPr>
    <w:r>
      <w:rPr>
        <w:rFonts w:cs="Open Sans"/>
        <w:color w:val="575756"/>
      </w:rPr>
      <w:tab/>
      <w:t>© Copyright 2019 – ERA-Net 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B75CF" w14:textId="77777777" w:rsidR="00661F25" w:rsidRDefault="00661F25">
      <w:pPr>
        <w:spacing w:after="0"/>
      </w:pPr>
      <w:r>
        <w:separator/>
      </w:r>
    </w:p>
  </w:footnote>
  <w:footnote w:type="continuationSeparator" w:id="0">
    <w:p w14:paraId="515645F1" w14:textId="77777777" w:rsidR="00661F25" w:rsidRDefault="00661F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1A39" w14:textId="77777777" w:rsidR="00727737" w:rsidRDefault="00000000">
    <w:pPr>
      <w:tabs>
        <w:tab w:val="center" w:pos="4536"/>
        <w:tab w:val="right" w:pos="9072"/>
      </w:tabs>
      <w:jc w:val="left"/>
    </w:pPr>
    <w:r>
      <w:rPr>
        <w:noProof/>
      </w:rPr>
      <w:drawing>
        <wp:inline distT="114300" distB="114300" distL="114300" distR="114300" wp14:anchorId="044183B4" wp14:editId="60664849">
          <wp:extent cx="1537970" cy="409575"/>
          <wp:effectExtent l="0" t="0" r="0" b="0"/>
          <wp:docPr id="18366721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183" r="7504"/>
                  <a:stretch>
                    <a:fillRect/>
                  </a:stretch>
                </pic:blipFill>
                <pic:spPr>
                  <a:xfrm>
                    <a:off x="0" y="0"/>
                    <a:ext cx="1537970" cy="409575"/>
                  </a:xfrm>
                  <a:prstGeom prst="rect">
                    <a:avLst/>
                  </a:prstGeom>
                  <a:ln/>
                </pic:spPr>
              </pic:pic>
            </a:graphicData>
          </a:graphic>
        </wp:inline>
      </w:drawing>
    </w:r>
    <w:r>
      <w:tab/>
    </w:r>
    <w:r>
      <w:tab/>
    </w:r>
    <w:r>
      <w:rPr>
        <w:noProof/>
      </w:rPr>
      <w:drawing>
        <wp:anchor distT="0" distB="0" distL="114300" distR="114300" simplePos="0" relativeHeight="251658240" behindDoc="0" locked="0" layoutInCell="1" hidden="0" allowOverlap="1" wp14:anchorId="4EF005B1" wp14:editId="691723BA">
          <wp:simplePos x="0" y="0"/>
          <wp:positionH relativeFrom="column">
            <wp:posOffset>5095875</wp:posOffset>
          </wp:positionH>
          <wp:positionV relativeFrom="paragraph">
            <wp:posOffset>-133349</wp:posOffset>
          </wp:positionV>
          <wp:extent cx="1204595" cy="647700"/>
          <wp:effectExtent l="0" t="0" r="0" b="0"/>
          <wp:wrapNone/>
          <wp:docPr id="4013427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33122" b="-35999"/>
                  <a:stretch>
                    <a:fillRect/>
                  </a:stretch>
                </pic:blipFill>
                <pic:spPr>
                  <a:xfrm>
                    <a:off x="0" y="0"/>
                    <a:ext cx="1204595" cy="6477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9047" w14:textId="77777777" w:rsidR="00727737" w:rsidRDefault="00000000">
    <w:pPr>
      <w:tabs>
        <w:tab w:val="center" w:pos="4536"/>
        <w:tab w:val="right" w:pos="9072"/>
      </w:tabs>
      <w:jc w:val="left"/>
      <w:rPr>
        <w:rFonts w:cs="Open Sans"/>
        <w:color w:val="575756"/>
      </w:rPr>
    </w:pPr>
    <w:r>
      <w:rPr>
        <w:noProof/>
      </w:rPr>
      <w:drawing>
        <wp:inline distT="114300" distB="114300" distL="114300" distR="114300" wp14:anchorId="37C27AE6" wp14:editId="3AF1ABB6">
          <wp:extent cx="1537970" cy="409575"/>
          <wp:effectExtent l="0" t="0" r="0" b="0"/>
          <wp:docPr id="8582860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183" r="7504"/>
                  <a:stretch>
                    <a:fillRect/>
                  </a:stretch>
                </pic:blipFill>
                <pic:spPr>
                  <a:xfrm>
                    <a:off x="0" y="0"/>
                    <a:ext cx="1537970" cy="409575"/>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64553D02" wp14:editId="3512520A">
          <wp:simplePos x="0" y="0"/>
          <wp:positionH relativeFrom="column">
            <wp:posOffset>4584700</wp:posOffset>
          </wp:positionH>
          <wp:positionV relativeFrom="paragraph">
            <wp:posOffset>-76199</wp:posOffset>
          </wp:positionV>
          <wp:extent cx="1204595" cy="647700"/>
          <wp:effectExtent l="0" t="0" r="0" b="0"/>
          <wp:wrapNone/>
          <wp:docPr id="10826966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33122" b="-35999"/>
                  <a:stretch>
                    <a:fillRect/>
                  </a:stretch>
                </pic:blipFill>
                <pic:spPr>
                  <a:xfrm>
                    <a:off x="0" y="0"/>
                    <a:ext cx="1204595"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3364"/>
    <w:multiLevelType w:val="multilevel"/>
    <w:tmpl w:val="A0F2E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97CB4"/>
    <w:multiLevelType w:val="multilevel"/>
    <w:tmpl w:val="D75A57D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921676"/>
    <w:multiLevelType w:val="multilevel"/>
    <w:tmpl w:val="C4AEE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1622A6"/>
    <w:multiLevelType w:val="multilevel"/>
    <w:tmpl w:val="D75A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4B6BE6"/>
    <w:multiLevelType w:val="multilevel"/>
    <w:tmpl w:val="4BCC4A36"/>
    <w:lvl w:ilvl="0">
      <w:start w:val="1"/>
      <w:numFmt w:val="bullet"/>
      <w:pStyle w:val="Listenabsatz2"/>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D413A"/>
    <w:multiLevelType w:val="multilevel"/>
    <w:tmpl w:val="08086A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C0B4A71"/>
    <w:multiLevelType w:val="multilevel"/>
    <w:tmpl w:val="4B8A4FC2"/>
    <w:lvl w:ilvl="0">
      <w:start w:val="1"/>
      <w:numFmt w:val="bullet"/>
      <w:pStyle w:val="AufzhlungDat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972FD5"/>
    <w:multiLevelType w:val="multilevel"/>
    <w:tmpl w:val="94200058"/>
    <w:lvl w:ilvl="0">
      <w:start w:val="1"/>
      <w:numFmt w:val="bullet"/>
      <w:pStyle w:val="Listenabsatz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872DA1"/>
    <w:multiLevelType w:val="multilevel"/>
    <w:tmpl w:val="66AAF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E812F0"/>
    <w:multiLevelType w:val="multilevel"/>
    <w:tmpl w:val="4E7085C8"/>
    <w:lvl w:ilvl="0">
      <w:start w:val="1"/>
      <w:numFmt w:val="bullet"/>
      <w:lvlText w:val="●"/>
      <w:lvlJc w:val="left"/>
      <w:pPr>
        <w:ind w:left="720" w:hanging="360"/>
      </w:pPr>
      <w:rPr>
        <w:u w:val="none"/>
      </w:rPr>
    </w:lvl>
    <w:lvl w:ilvl="1">
      <w:start w:val="1"/>
      <w:numFmt w:val="bullet"/>
      <w:pStyle w:val="Liste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AF1E41"/>
    <w:multiLevelType w:val="multilevel"/>
    <w:tmpl w:val="BD088AB8"/>
    <w:lvl w:ilvl="0">
      <w:start w:val="1"/>
      <w:numFmt w:val="bullet"/>
      <w:pStyle w:val="Listenabsatz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505B28"/>
    <w:multiLevelType w:val="multilevel"/>
    <w:tmpl w:val="B93A5A64"/>
    <w:lvl w:ilvl="0">
      <w:start w:val="1"/>
      <w:numFmt w:val="bullet"/>
      <w:pStyle w:val="Pfeil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0E2A8A"/>
    <w:multiLevelType w:val="multilevel"/>
    <w:tmpl w:val="77B4C67C"/>
    <w:lvl w:ilvl="0">
      <w:start w:val="1"/>
      <w:numFmt w:val="bullet"/>
      <w:pStyle w:val="Auflistu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066411"/>
    <w:multiLevelType w:val="multilevel"/>
    <w:tmpl w:val="3EDE2B8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FC7E0E"/>
    <w:multiLevelType w:val="multilevel"/>
    <w:tmpl w:val="6500213E"/>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9576E8"/>
    <w:multiLevelType w:val="multilevel"/>
    <w:tmpl w:val="C284D98A"/>
    <w:lvl w:ilvl="0">
      <w:start w:val="1"/>
      <w:numFmt w:val="bullet"/>
      <w:pStyle w:val="nummerierteAufzhlu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F37AB4"/>
    <w:multiLevelType w:val="multilevel"/>
    <w:tmpl w:val="399EC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883BD8"/>
    <w:multiLevelType w:val="multilevel"/>
    <w:tmpl w:val="340C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BF3631"/>
    <w:multiLevelType w:val="multilevel"/>
    <w:tmpl w:val="660EAF7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9" w15:restartNumberingAfterBreak="0">
    <w:nsid w:val="539013BE"/>
    <w:multiLevelType w:val="multilevel"/>
    <w:tmpl w:val="2300167C"/>
    <w:lvl w:ilvl="0">
      <w:start w:val="1"/>
      <w:numFmt w:val="bullet"/>
      <w:pStyle w:val="Einzug"/>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D30640"/>
    <w:multiLevelType w:val="multilevel"/>
    <w:tmpl w:val="EAD0CEC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44766C"/>
    <w:multiLevelType w:val="multilevel"/>
    <w:tmpl w:val="B6149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9123C6"/>
    <w:multiLevelType w:val="multilevel"/>
    <w:tmpl w:val="1898C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1D141D"/>
    <w:multiLevelType w:val="multilevel"/>
    <w:tmpl w:val="9B0481B4"/>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C73AC8"/>
    <w:multiLevelType w:val="multilevel"/>
    <w:tmpl w:val="91AAA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56F2587"/>
    <w:multiLevelType w:val="multilevel"/>
    <w:tmpl w:val="A9EC4850"/>
    <w:lvl w:ilvl="0">
      <w:start w:val="1"/>
      <w:numFmt w:val="bullet"/>
      <w:pStyle w:val="ListeEbene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A80265"/>
    <w:multiLevelType w:val="multilevel"/>
    <w:tmpl w:val="0E821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88724E"/>
    <w:multiLevelType w:val="multilevel"/>
    <w:tmpl w:val="D4067FA4"/>
    <w:lvl w:ilvl="0">
      <w:start w:val="1"/>
      <w:numFmt w:val="bullet"/>
      <w:pStyle w:val="Aufzhlung"/>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5C6AF2"/>
    <w:multiLevelType w:val="multilevel"/>
    <w:tmpl w:val="26C22D00"/>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57578758">
    <w:abstractNumId w:val="14"/>
  </w:num>
  <w:num w:numId="2" w16cid:durableId="503856952">
    <w:abstractNumId w:val="19"/>
  </w:num>
  <w:num w:numId="3" w16cid:durableId="910235512">
    <w:abstractNumId w:val="12"/>
  </w:num>
  <w:num w:numId="4" w16cid:durableId="493377960">
    <w:abstractNumId w:val="27"/>
  </w:num>
  <w:num w:numId="5" w16cid:durableId="1817142115">
    <w:abstractNumId w:val="28"/>
  </w:num>
  <w:num w:numId="6" w16cid:durableId="19480422">
    <w:abstractNumId w:val="6"/>
  </w:num>
  <w:num w:numId="7" w16cid:durableId="1514683461">
    <w:abstractNumId w:val="15"/>
  </w:num>
  <w:num w:numId="8" w16cid:durableId="566843062">
    <w:abstractNumId w:val="23"/>
  </w:num>
  <w:num w:numId="9" w16cid:durableId="323510607">
    <w:abstractNumId w:val="25"/>
  </w:num>
  <w:num w:numId="10" w16cid:durableId="1071806985">
    <w:abstractNumId w:val="2"/>
  </w:num>
  <w:num w:numId="11" w16cid:durableId="1536849144">
    <w:abstractNumId w:val="3"/>
  </w:num>
  <w:num w:numId="12" w16cid:durableId="125664574">
    <w:abstractNumId w:val="0"/>
  </w:num>
  <w:num w:numId="13" w16cid:durableId="1970476286">
    <w:abstractNumId w:val="5"/>
  </w:num>
  <w:num w:numId="14" w16cid:durableId="1394432022">
    <w:abstractNumId w:val="26"/>
  </w:num>
  <w:num w:numId="15" w16cid:durableId="803305142">
    <w:abstractNumId w:val="22"/>
  </w:num>
  <w:num w:numId="16" w16cid:durableId="1038700984">
    <w:abstractNumId w:val="20"/>
  </w:num>
  <w:num w:numId="17" w16cid:durableId="300577607">
    <w:abstractNumId w:val="24"/>
  </w:num>
  <w:num w:numId="18" w16cid:durableId="905065120">
    <w:abstractNumId w:val="21"/>
  </w:num>
  <w:num w:numId="19" w16cid:durableId="1234510188">
    <w:abstractNumId w:val="16"/>
  </w:num>
  <w:num w:numId="20" w16cid:durableId="2056150201">
    <w:abstractNumId w:val="1"/>
  </w:num>
  <w:num w:numId="21" w16cid:durableId="80110112">
    <w:abstractNumId w:val="9"/>
  </w:num>
  <w:num w:numId="22" w16cid:durableId="925499638">
    <w:abstractNumId w:val="4"/>
  </w:num>
  <w:num w:numId="23" w16cid:durableId="874346115">
    <w:abstractNumId w:val="11"/>
  </w:num>
  <w:num w:numId="24" w16cid:durableId="100731552">
    <w:abstractNumId w:val="13"/>
  </w:num>
  <w:num w:numId="25" w16cid:durableId="1137378604">
    <w:abstractNumId w:val="8"/>
  </w:num>
  <w:num w:numId="26" w16cid:durableId="992752755">
    <w:abstractNumId w:val="7"/>
  </w:num>
  <w:num w:numId="27" w16cid:durableId="1980920905">
    <w:abstractNumId w:val="17"/>
  </w:num>
  <w:num w:numId="28" w16cid:durableId="177891420">
    <w:abstractNumId w:val="10"/>
  </w:num>
  <w:num w:numId="29" w16cid:durableId="18538318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737"/>
    <w:rsid w:val="000344AD"/>
    <w:rsid w:val="000D4575"/>
    <w:rsid w:val="002A35DF"/>
    <w:rsid w:val="005E1C81"/>
    <w:rsid w:val="00661F25"/>
    <w:rsid w:val="00727737"/>
    <w:rsid w:val="00985816"/>
    <w:rsid w:val="00BD416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75769"/>
  <w15:docId w15:val="{F1390563-4103-402F-A8D3-625537C9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575756"/>
        <w:sz w:val="22"/>
        <w:szCs w:val="22"/>
        <w:lang w:val="en-GB" w:eastAsia="ro-RO" w:bidi="ar-SA"/>
      </w:rPr>
    </w:rPrDefault>
    <w:pPrDefault>
      <w:pPr>
        <w:spacing w:after="200"/>
        <w:ind w:right="56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0EE"/>
    <w:pPr>
      <w:suppressAutoHyphens/>
    </w:pPr>
    <w:rPr>
      <w:rFonts w:cs="Arial"/>
      <w:color w:val="575756" w:themeColor="text2"/>
      <w:lang w:eastAsia="zh-TW"/>
    </w:rPr>
  </w:style>
  <w:style w:type="paragraph" w:styleId="Heading1">
    <w:name w:val="heading 1"/>
    <w:aliases w:val="Headline 1"/>
    <w:basedOn w:val="Normal"/>
    <w:next w:val="Normal"/>
    <w:link w:val="Heading1Char"/>
    <w:uiPriority w:val="9"/>
    <w:qFormat/>
    <w:rsid w:val="00C80743"/>
    <w:pPr>
      <w:keepNext/>
      <w:numPr>
        <w:numId w:val="29"/>
      </w:numPr>
      <w:spacing w:before="480" w:after="120"/>
      <w:outlineLvl w:val="0"/>
    </w:pPr>
    <w:rPr>
      <w:b/>
      <w:caps/>
      <w:color w:val="0489CE"/>
      <w:kern w:val="28"/>
      <w:sz w:val="28"/>
    </w:rPr>
  </w:style>
  <w:style w:type="paragraph" w:styleId="Heading2">
    <w:name w:val="heading 2"/>
    <w:aliases w:val="Headline 2"/>
    <w:basedOn w:val="Normal"/>
    <w:next w:val="Normal"/>
    <w:link w:val="Heading2Char"/>
    <w:uiPriority w:val="9"/>
    <w:unhideWhenUsed/>
    <w:qFormat/>
    <w:rsid w:val="00D2708E"/>
    <w:pPr>
      <w:keepNext/>
      <w:numPr>
        <w:ilvl w:val="1"/>
        <w:numId w:val="29"/>
      </w:numPr>
      <w:tabs>
        <w:tab w:val="left" w:pos="680"/>
      </w:tabs>
      <w:spacing w:before="240" w:after="60"/>
      <w:outlineLvl w:val="1"/>
    </w:pPr>
    <w:rPr>
      <w:b/>
      <w:bCs/>
      <w:color w:val="0489CE"/>
      <w:szCs w:val="28"/>
    </w:rPr>
  </w:style>
  <w:style w:type="paragraph" w:styleId="Heading3">
    <w:name w:val="heading 3"/>
    <w:aliases w:val="Headline 3"/>
    <w:basedOn w:val="Normal"/>
    <w:next w:val="Normal"/>
    <w:link w:val="Heading3Char"/>
    <w:uiPriority w:val="9"/>
    <w:unhideWhenUsed/>
    <w:qFormat/>
    <w:rsid w:val="008E1B80"/>
    <w:pPr>
      <w:keepNext/>
      <w:numPr>
        <w:ilvl w:val="2"/>
        <w:numId w:val="29"/>
      </w:numPr>
      <w:spacing w:before="240" w:after="60"/>
      <w:outlineLvl w:val="2"/>
    </w:pPr>
    <w:rPr>
      <w:bCs/>
      <w:color w:val="0489CE"/>
      <w:szCs w:val="26"/>
    </w:rPr>
  </w:style>
  <w:style w:type="paragraph" w:styleId="Heading4">
    <w:name w:val="heading 4"/>
    <w:aliases w:val="Headline 4"/>
    <w:basedOn w:val="Normal"/>
    <w:next w:val="Normal"/>
    <w:link w:val="Heading4Char"/>
    <w:uiPriority w:val="9"/>
    <w:unhideWhenUsed/>
    <w:qFormat/>
    <w:rsid w:val="001D00EE"/>
    <w:pPr>
      <w:keepNext/>
      <w:numPr>
        <w:ilvl w:val="3"/>
        <w:numId w:val="29"/>
      </w:numPr>
      <w:spacing w:before="240" w:after="60"/>
      <w:outlineLvl w:val="3"/>
    </w:pPr>
    <w:rPr>
      <w:bCs/>
      <w:szCs w:val="20"/>
    </w:rPr>
  </w:style>
  <w:style w:type="paragraph" w:styleId="Heading5">
    <w:name w:val="heading 5"/>
    <w:basedOn w:val="Normal"/>
    <w:next w:val="Normal"/>
    <w:link w:val="Heading5Char"/>
    <w:uiPriority w:val="9"/>
    <w:semiHidden/>
    <w:unhideWhenUsed/>
    <w:qFormat/>
    <w:rsid w:val="00AD28D2"/>
    <w:pPr>
      <w:keepNext/>
      <w:keepLines/>
      <w:numPr>
        <w:ilvl w:val="4"/>
        <w:numId w:val="29"/>
      </w:numPr>
      <w:spacing w:before="200"/>
      <w:outlineLvl w:val="4"/>
    </w:pPr>
    <w:rPr>
      <w:rFonts w:ascii="Cambria" w:hAnsi="Cambria" w:cs="Times New Roman"/>
      <w:color w:val="243F60"/>
    </w:rPr>
  </w:style>
  <w:style w:type="paragraph" w:styleId="Heading6">
    <w:name w:val="heading 6"/>
    <w:basedOn w:val="Normal"/>
    <w:next w:val="Normal"/>
    <w:link w:val="Heading6Char"/>
    <w:uiPriority w:val="9"/>
    <w:semiHidden/>
    <w:unhideWhenUsed/>
    <w:qFormat/>
    <w:rsid w:val="00ED7E86"/>
    <w:pPr>
      <w:numPr>
        <w:ilvl w:val="5"/>
        <w:numId w:val="29"/>
      </w:numPr>
      <w:spacing w:before="240" w:after="60"/>
      <w:outlineLvl w:val="5"/>
    </w:pPr>
    <w:rPr>
      <w:rFonts w:cs="Times New Roman"/>
      <w:b/>
      <w:bCs/>
      <w:color w:val="auto"/>
      <w:lang w:val="de-AT" w:eastAsia="de-AT"/>
    </w:rPr>
  </w:style>
  <w:style w:type="paragraph" w:styleId="Heading7">
    <w:name w:val="heading 7"/>
    <w:basedOn w:val="Normal"/>
    <w:next w:val="Normal"/>
    <w:link w:val="Heading7Char"/>
    <w:locked/>
    <w:rsid w:val="00ED7E86"/>
    <w:pPr>
      <w:numPr>
        <w:ilvl w:val="6"/>
        <w:numId w:val="29"/>
      </w:numPr>
      <w:spacing w:before="240" w:after="60"/>
      <w:outlineLvl w:val="6"/>
    </w:pPr>
    <w:rPr>
      <w:rFonts w:ascii="Times New Roman" w:hAnsi="Times New Roman" w:cs="Times New Roman"/>
      <w:color w:val="auto"/>
      <w:lang w:val="de-AT" w:eastAsia="de-AT"/>
    </w:rPr>
  </w:style>
  <w:style w:type="paragraph" w:styleId="Heading8">
    <w:name w:val="heading 8"/>
    <w:basedOn w:val="Normal"/>
    <w:next w:val="Normal"/>
    <w:link w:val="Heading8Char"/>
    <w:locked/>
    <w:rsid w:val="00ED7E86"/>
    <w:pPr>
      <w:numPr>
        <w:ilvl w:val="7"/>
        <w:numId w:val="29"/>
      </w:numPr>
      <w:spacing w:before="240" w:after="60"/>
      <w:outlineLvl w:val="7"/>
    </w:pPr>
    <w:rPr>
      <w:rFonts w:ascii="Times New Roman" w:hAnsi="Times New Roman" w:cs="Times New Roman"/>
      <w:i/>
      <w:iCs/>
      <w:color w:val="auto"/>
      <w:lang w:val="de-AT" w:eastAsia="de-AT"/>
    </w:rPr>
  </w:style>
  <w:style w:type="paragraph" w:styleId="Heading9">
    <w:name w:val="heading 9"/>
    <w:basedOn w:val="Normal"/>
    <w:next w:val="Normal"/>
    <w:link w:val="Heading9Char"/>
    <w:rsid w:val="00590DD7"/>
    <w:pPr>
      <w:numPr>
        <w:ilvl w:val="8"/>
        <w:numId w:val="29"/>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5BE8"/>
    <w:pPr>
      <w:pBdr>
        <w:bottom w:val="single" w:sz="8" w:space="4" w:color="96C271" w:themeColor="accent1"/>
      </w:pBdr>
      <w:spacing w:after="300"/>
      <w:contextualSpacing/>
    </w:pPr>
    <w:rPr>
      <w:rFonts w:asciiTheme="majorHAnsi" w:eastAsiaTheme="majorEastAsia" w:hAnsiTheme="majorHAnsi" w:cstheme="majorBidi"/>
      <w:color w:val="414140" w:themeColor="text2" w:themeShade="BF"/>
      <w:spacing w:val="5"/>
      <w:kern w:val="28"/>
      <w:sz w:val="52"/>
      <w:szCs w:val="52"/>
    </w:rPr>
  </w:style>
  <w:style w:type="character" w:customStyle="1" w:styleId="Heading1Char">
    <w:name w:val="Heading 1 Char"/>
    <w:aliases w:val="Headline 1 Char"/>
    <w:basedOn w:val="DefaultParagraphFont"/>
    <w:link w:val="Heading1"/>
    <w:uiPriority w:val="9"/>
    <w:locked/>
    <w:rsid w:val="00C80743"/>
    <w:rPr>
      <w:rFonts w:ascii="Verdana" w:hAnsi="Verdana" w:cs="Arial"/>
      <w:b/>
      <w:caps/>
      <w:color w:val="0489CE"/>
      <w:kern w:val="28"/>
      <w:sz w:val="28"/>
      <w:szCs w:val="24"/>
    </w:rPr>
  </w:style>
  <w:style w:type="character" w:customStyle="1" w:styleId="Heading2Char">
    <w:name w:val="Heading 2 Char"/>
    <w:aliases w:val="Headline 2 Char"/>
    <w:basedOn w:val="DefaultParagraphFont"/>
    <w:link w:val="Heading2"/>
    <w:uiPriority w:val="9"/>
    <w:locked/>
    <w:rsid w:val="00D2708E"/>
    <w:rPr>
      <w:rFonts w:ascii="Verdana" w:hAnsi="Verdana" w:cs="Arial"/>
      <w:b/>
      <w:bCs/>
      <w:color w:val="0489CE"/>
      <w:sz w:val="24"/>
      <w:szCs w:val="28"/>
    </w:rPr>
  </w:style>
  <w:style w:type="character" w:customStyle="1" w:styleId="Heading3Char">
    <w:name w:val="Heading 3 Char"/>
    <w:aliases w:val="Headline 3 Char"/>
    <w:basedOn w:val="DefaultParagraphFont"/>
    <w:link w:val="Heading3"/>
    <w:uiPriority w:val="9"/>
    <w:locked/>
    <w:rsid w:val="008E1B80"/>
    <w:rPr>
      <w:rFonts w:ascii="Open Sans" w:hAnsi="Open Sans" w:cs="Arial"/>
      <w:bCs/>
      <w:color w:val="0489CE"/>
      <w:sz w:val="24"/>
      <w:szCs w:val="26"/>
      <w:lang w:val="en-GB"/>
    </w:rPr>
  </w:style>
  <w:style w:type="character" w:customStyle="1" w:styleId="Heading4Char">
    <w:name w:val="Heading 4 Char"/>
    <w:aliases w:val="Headline 4 Char"/>
    <w:basedOn w:val="DefaultParagraphFont"/>
    <w:link w:val="Heading4"/>
    <w:locked/>
    <w:rsid w:val="001D00EE"/>
    <w:rPr>
      <w:rFonts w:ascii="Open Sans" w:hAnsi="Open Sans" w:cs="Arial"/>
      <w:bCs/>
      <w:color w:val="575756" w:themeColor="text2"/>
      <w:szCs w:val="20"/>
      <w:lang w:val="en-GB" w:eastAsia="zh-TW"/>
    </w:rPr>
  </w:style>
  <w:style w:type="character" w:customStyle="1" w:styleId="Heading5Char">
    <w:name w:val="Heading 5 Char"/>
    <w:basedOn w:val="DefaultParagraphFont"/>
    <w:link w:val="Heading5"/>
    <w:uiPriority w:val="99"/>
    <w:locked/>
    <w:rsid w:val="009F1BC8"/>
    <w:rPr>
      <w:rFonts w:ascii="Cambria" w:hAnsi="Cambria"/>
      <w:color w:val="243F60"/>
      <w:szCs w:val="24"/>
    </w:rPr>
  </w:style>
  <w:style w:type="character" w:customStyle="1" w:styleId="Heading9Char">
    <w:name w:val="Heading 9 Char"/>
    <w:basedOn w:val="DefaultParagraphFont"/>
    <w:link w:val="Heading9"/>
    <w:uiPriority w:val="99"/>
    <w:locked/>
    <w:rsid w:val="009F1BC8"/>
    <w:rPr>
      <w:rFonts w:ascii="Arial" w:hAnsi="Arial" w:cs="Arial"/>
      <w:color w:val="000000"/>
      <w:szCs w:val="24"/>
    </w:rPr>
  </w:style>
  <w:style w:type="paragraph" w:styleId="BalloonText">
    <w:name w:val="Balloon Text"/>
    <w:basedOn w:val="Normal"/>
    <w:link w:val="BalloonTextChar"/>
    <w:uiPriority w:val="99"/>
    <w:rsid w:val="004A7FBD"/>
    <w:rPr>
      <w:rFonts w:ascii="Tahoma" w:hAnsi="Tahoma" w:cs="Tahoma"/>
      <w:sz w:val="16"/>
      <w:szCs w:val="16"/>
    </w:rPr>
  </w:style>
  <w:style w:type="character" w:customStyle="1" w:styleId="BalloonTextChar">
    <w:name w:val="Balloon Text Char"/>
    <w:basedOn w:val="DefaultParagraphFont"/>
    <w:link w:val="BalloonText"/>
    <w:uiPriority w:val="99"/>
    <w:locked/>
    <w:rsid w:val="009F1BC8"/>
    <w:rPr>
      <w:rFonts w:ascii="Tahoma" w:hAnsi="Tahoma" w:cs="Tahoma"/>
      <w:color w:val="000000"/>
      <w:sz w:val="16"/>
      <w:szCs w:val="16"/>
    </w:rPr>
  </w:style>
  <w:style w:type="paragraph" w:customStyle="1" w:styleId="Marginalie">
    <w:name w:val="Marginalie"/>
    <w:basedOn w:val="Normal"/>
    <w:uiPriority w:val="99"/>
    <w:rsid w:val="00590DD7"/>
    <w:pPr>
      <w:framePr w:w="2268" w:h="442" w:hSpace="454" w:wrap="auto" w:vAnchor="text" w:hAnchor="page" w:xAlign="outside" w:y="1"/>
      <w:spacing w:before="60" w:after="60" w:line="280" w:lineRule="exact"/>
    </w:pPr>
    <w:rPr>
      <w:rFonts w:ascii="Gill Sans" w:hAnsi="Gill Sans"/>
      <w:b/>
      <w:i/>
    </w:rPr>
  </w:style>
  <w:style w:type="paragraph" w:styleId="ListParagraph">
    <w:name w:val="List Paragraph"/>
    <w:aliases w:val="Rot hervorheben"/>
    <w:basedOn w:val="Normal"/>
    <w:link w:val="ListParagraphChar"/>
    <w:uiPriority w:val="34"/>
    <w:qFormat/>
    <w:rsid w:val="00BC5BE8"/>
    <w:pPr>
      <w:numPr>
        <w:numId w:val="8"/>
      </w:numPr>
      <w:spacing w:before="80"/>
      <w:ind w:left="357" w:right="1418" w:hanging="357"/>
    </w:pPr>
  </w:style>
  <w:style w:type="paragraph" w:styleId="Header">
    <w:name w:val="header"/>
    <w:basedOn w:val="Normal"/>
    <w:link w:val="HeaderChar"/>
    <w:uiPriority w:val="99"/>
    <w:rsid w:val="00590DD7"/>
    <w:pPr>
      <w:tabs>
        <w:tab w:val="center" w:pos="4536"/>
        <w:tab w:val="right" w:pos="9072"/>
      </w:tabs>
    </w:pPr>
  </w:style>
  <w:style w:type="character" w:customStyle="1" w:styleId="HeaderChar">
    <w:name w:val="Header Char"/>
    <w:basedOn w:val="DefaultParagraphFont"/>
    <w:link w:val="Header"/>
    <w:uiPriority w:val="99"/>
    <w:locked/>
    <w:rsid w:val="009F1BC8"/>
    <w:rPr>
      <w:rFonts w:ascii="Arial" w:hAnsi="Arial" w:cs="Arial"/>
      <w:color w:val="000000"/>
      <w:szCs w:val="24"/>
    </w:rPr>
  </w:style>
  <w:style w:type="paragraph" w:styleId="Footer">
    <w:name w:val="footer"/>
    <w:basedOn w:val="Normal"/>
    <w:link w:val="FooterChar"/>
    <w:uiPriority w:val="99"/>
    <w:rsid w:val="00590DD7"/>
    <w:pPr>
      <w:tabs>
        <w:tab w:val="center" w:pos="4536"/>
        <w:tab w:val="right" w:pos="9072"/>
      </w:tabs>
    </w:pPr>
  </w:style>
  <w:style w:type="character" w:customStyle="1" w:styleId="FooterChar">
    <w:name w:val="Footer Char"/>
    <w:basedOn w:val="DefaultParagraphFont"/>
    <w:link w:val="Footer"/>
    <w:uiPriority w:val="99"/>
    <w:locked/>
    <w:rsid w:val="009F1BC8"/>
    <w:rPr>
      <w:rFonts w:ascii="Arial" w:hAnsi="Arial" w:cs="Arial"/>
      <w:color w:val="000000"/>
      <w:szCs w:val="24"/>
    </w:rPr>
  </w:style>
  <w:style w:type="character" w:styleId="PageNumber">
    <w:name w:val="page number"/>
    <w:basedOn w:val="DefaultParagraphFont"/>
    <w:uiPriority w:val="99"/>
    <w:rsid w:val="00590DD7"/>
    <w:rPr>
      <w:rFonts w:cs="Times New Roman"/>
    </w:rPr>
  </w:style>
  <w:style w:type="paragraph" w:styleId="TOC1">
    <w:name w:val="toc 1"/>
    <w:basedOn w:val="Normal"/>
    <w:next w:val="Normal"/>
    <w:autoRedefine/>
    <w:uiPriority w:val="39"/>
    <w:rsid w:val="002F5C23"/>
    <w:pPr>
      <w:tabs>
        <w:tab w:val="left" w:pos="567"/>
        <w:tab w:val="right" w:leader="dot" w:pos="9060"/>
      </w:tabs>
      <w:spacing w:before="240" w:after="120"/>
      <w:ind w:left="567" w:right="1134" w:hanging="567"/>
    </w:pPr>
    <w:rPr>
      <w:b/>
      <w:bCs/>
      <w:caps/>
      <w:szCs w:val="28"/>
    </w:rPr>
  </w:style>
  <w:style w:type="paragraph" w:styleId="NormalWeb">
    <w:name w:val="Normal (Web)"/>
    <w:basedOn w:val="Normal"/>
    <w:uiPriority w:val="99"/>
    <w:rsid w:val="00590DD7"/>
  </w:style>
  <w:style w:type="paragraph" w:styleId="E-mailSignature">
    <w:name w:val="E-mail Signature"/>
    <w:basedOn w:val="Normal"/>
    <w:link w:val="E-mailSignatureChar"/>
    <w:uiPriority w:val="99"/>
    <w:rsid w:val="00590DD7"/>
    <w:rPr>
      <w:rFonts w:cs="Times New Roman"/>
      <w:color w:val="auto"/>
    </w:rPr>
  </w:style>
  <w:style w:type="character" w:customStyle="1" w:styleId="E-mailSignatureChar">
    <w:name w:val="E-mail Signature Char"/>
    <w:basedOn w:val="DefaultParagraphFont"/>
    <w:link w:val="E-mailSignature"/>
    <w:uiPriority w:val="99"/>
    <w:locked/>
    <w:rsid w:val="009F1BC8"/>
    <w:rPr>
      <w:rFonts w:ascii="Arial" w:hAnsi="Arial"/>
      <w:sz w:val="24"/>
      <w:szCs w:val="24"/>
    </w:rPr>
  </w:style>
  <w:style w:type="paragraph" w:styleId="TOC2">
    <w:name w:val="toc 2"/>
    <w:basedOn w:val="Normal"/>
    <w:next w:val="Normal"/>
    <w:uiPriority w:val="39"/>
    <w:rsid w:val="00157AA6"/>
    <w:pPr>
      <w:tabs>
        <w:tab w:val="left" w:pos="567"/>
        <w:tab w:val="right" w:leader="dot" w:pos="9060"/>
      </w:tabs>
      <w:spacing w:before="80"/>
      <w:ind w:left="567" w:right="1134" w:hanging="567"/>
    </w:pPr>
    <w:rPr>
      <w:b/>
      <w:bCs/>
      <w:noProof/>
      <w:sz w:val="20"/>
    </w:rPr>
  </w:style>
  <w:style w:type="paragraph" w:styleId="TOC3">
    <w:name w:val="toc 3"/>
    <w:basedOn w:val="Normal"/>
    <w:next w:val="Normal"/>
    <w:autoRedefine/>
    <w:uiPriority w:val="39"/>
    <w:rsid w:val="00157AA6"/>
    <w:pPr>
      <w:tabs>
        <w:tab w:val="left" w:pos="567"/>
        <w:tab w:val="right" w:leader="dot" w:pos="9060"/>
      </w:tabs>
      <w:spacing w:before="20" w:line="264" w:lineRule="auto"/>
      <w:ind w:right="1134"/>
    </w:pPr>
    <w:rPr>
      <w:noProof/>
      <w:sz w:val="20"/>
    </w:rPr>
  </w:style>
  <w:style w:type="paragraph" w:styleId="TOC4">
    <w:name w:val="toc 4"/>
    <w:basedOn w:val="Normal"/>
    <w:next w:val="Normal"/>
    <w:uiPriority w:val="39"/>
    <w:rsid w:val="00157AA6"/>
    <w:pPr>
      <w:tabs>
        <w:tab w:val="right" w:leader="dot" w:pos="9072"/>
      </w:tabs>
      <w:spacing w:before="40" w:line="264" w:lineRule="auto"/>
      <w:ind w:left="567" w:right="709"/>
    </w:pPr>
    <w:rPr>
      <w:b/>
      <w:sz w:val="20"/>
    </w:rPr>
  </w:style>
  <w:style w:type="paragraph" w:customStyle="1" w:styleId="Standardnummeriert">
    <w:name w:val="Standard nummeriert"/>
    <w:basedOn w:val="Normal"/>
    <w:uiPriority w:val="99"/>
    <w:rsid w:val="00590DD7"/>
    <w:rPr>
      <w:noProof/>
    </w:rPr>
  </w:style>
  <w:style w:type="paragraph" w:customStyle="1" w:styleId="Aufzhlung1">
    <w:name w:val="Aufzählung 1"/>
    <w:basedOn w:val="Normal"/>
    <w:uiPriority w:val="99"/>
    <w:rsid w:val="00590DD7"/>
    <w:pPr>
      <w:spacing w:before="60" w:line="312" w:lineRule="auto"/>
    </w:pPr>
    <w:rPr>
      <w:rFonts w:cs="Times New Roman"/>
      <w:color w:val="auto"/>
      <w:szCs w:val="20"/>
    </w:rPr>
  </w:style>
  <w:style w:type="paragraph" w:customStyle="1" w:styleId="AbbTabberschrift">
    <w:name w:val="Abb/Tab Überschrift"/>
    <w:basedOn w:val="Normal"/>
    <w:next w:val="Normal"/>
    <w:uiPriority w:val="99"/>
    <w:rsid w:val="00800A03"/>
    <w:pPr>
      <w:keepNext/>
      <w:spacing w:line="340" w:lineRule="exact"/>
      <w:jc w:val="center"/>
    </w:pPr>
    <w:rPr>
      <w:b/>
      <w:bCs/>
      <w:color w:val="005085"/>
    </w:rPr>
  </w:style>
  <w:style w:type="paragraph" w:customStyle="1" w:styleId="AbbTabUnterberschrift">
    <w:name w:val="Abb/Tab Unterüberschrift"/>
    <w:basedOn w:val="AbbTabberschrift"/>
    <w:uiPriority w:val="99"/>
    <w:rsid w:val="00800A03"/>
    <w:pPr>
      <w:spacing w:before="60" w:after="120"/>
    </w:pPr>
    <w:rPr>
      <w:b w:val="0"/>
      <w:bCs w:val="0"/>
    </w:rPr>
  </w:style>
  <w:style w:type="paragraph" w:customStyle="1" w:styleId="FunoteAbbildungTabelle">
    <w:name w:val="Fußnote Abbildung/Tabelle"/>
    <w:basedOn w:val="Normal"/>
    <w:next w:val="Normal"/>
    <w:uiPriority w:val="99"/>
    <w:rsid w:val="00800A03"/>
    <w:pPr>
      <w:spacing w:before="60" w:after="60"/>
    </w:pPr>
    <w:rPr>
      <w:color w:val="005085"/>
      <w:sz w:val="20"/>
      <w:szCs w:val="20"/>
    </w:rPr>
  </w:style>
  <w:style w:type="paragraph" w:styleId="FootnoteText">
    <w:name w:val="footnote text"/>
    <w:aliases w:val="Schriftart: 9 pt,Schriftart: 10 pt,Schriftart: 8 pt,Footnote text,Podrozdział,Footnote,WB-Fußnotentext,Reference,Fußnote,fn,Footnote Text Char2,Footnote Text Char Char1,Footnote Text Char1 Char Char,Footnote Text Char Char Char Cha"/>
    <w:basedOn w:val="Normal"/>
    <w:link w:val="FootnoteTextChar"/>
    <w:uiPriority w:val="99"/>
    <w:rsid w:val="00800A03"/>
    <w:pPr>
      <w:tabs>
        <w:tab w:val="left" w:pos="360"/>
      </w:tabs>
      <w:ind w:left="360" w:hangingChars="180" w:hanging="360"/>
    </w:pPr>
    <w:rPr>
      <w:sz w:val="20"/>
      <w:szCs w:val="20"/>
    </w:rPr>
  </w:style>
  <w:style w:type="character" w:customStyle="1" w:styleId="FootnoteTextChar">
    <w:name w:val="Footnote Text Char"/>
    <w:aliases w:val="Schriftart: 9 pt Char,Schriftart: 10 pt Char,Schriftart: 8 pt Char,Footnote text Char,Podrozdział Char,Footnote Char,WB-Fußnotentext Char,Reference Char,Fußnote Char,fn Char,Footnote Text Char2 Char,Footnote Text Char Char1 Char"/>
    <w:basedOn w:val="DefaultParagraphFont"/>
    <w:link w:val="FootnoteText"/>
    <w:uiPriority w:val="99"/>
    <w:locked/>
    <w:rsid w:val="009F1BC8"/>
    <w:rPr>
      <w:rFonts w:ascii="Arial" w:hAnsi="Arial" w:cs="Arial"/>
      <w:color w:val="000000"/>
      <w:sz w:val="20"/>
      <w:szCs w:val="20"/>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
    <w:basedOn w:val="DefaultParagraphFont"/>
    <w:link w:val="SUPERSChar"/>
    <w:uiPriority w:val="99"/>
    <w:rsid w:val="00800A03"/>
    <w:rPr>
      <w:rFonts w:ascii="Arial" w:hAnsi="Arial" w:cs="Arial"/>
      <w:sz w:val="20"/>
      <w:szCs w:val="20"/>
      <w:vertAlign w:val="superscript"/>
    </w:rPr>
  </w:style>
  <w:style w:type="paragraph" w:customStyle="1" w:styleId="nummerierteAufzhlung">
    <w:name w:val="nummerierte Aufzählung"/>
    <w:basedOn w:val="Normal"/>
    <w:uiPriority w:val="99"/>
    <w:qFormat/>
    <w:rsid w:val="002D3717"/>
    <w:pPr>
      <w:numPr>
        <w:numId w:val="7"/>
      </w:numPr>
      <w:spacing w:line="290" w:lineRule="auto"/>
    </w:pPr>
    <w:rPr>
      <w:sz w:val="20"/>
    </w:rPr>
  </w:style>
  <w:style w:type="character" w:styleId="CommentReference">
    <w:name w:val="annotation reference"/>
    <w:basedOn w:val="DefaultParagraphFont"/>
    <w:uiPriority w:val="99"/>
    <w:rsid w:val="005516F3"/>
    <w:rPr>
      <w:rFonts w:cs="Times New Roman"/>
      <w:sz w:val="16"/>
      <w:szCs w:val="16"/>
    </w:rPr>
  </w:style>
  <w:style w:type="paragraph" w:styleId="CommentText">
    <w:name w:val="annotation text"/>
    <w:basedOn w:val="Normal"/>
    <w:link w:val="CommentTextChar"/>
    <w:uiPriority w:val="99"/>
    <w:rsid w:val="005516F3"/>
    <w:rPr>
      <w:sz w:val="20"/>
      <w:szCs w:val="20"/>
    </w:rPr>
  </w:style>
  <w:style w:type="character" w:customStyle="1" w:styleId="CommentTextChar">
    <w:name w:val="Comment Text Char"/>
    <w:basedOn w:val="DefaultParagraphFont"/>
    <w:link w:val="CommentText"/>
    <w:uiPriority w:val="99"/>
    <w:locked/>
    <w:rsid w:val="009F1BC8"/>
    <w:rPr>
      <w:rFonts w:ascii="Arial" w:hAnsi="Arial" w:cs="Arial"/>
      <w:color w:val="000000"/>
      <w:sz w:val="20"/>
      <w:szCs w:val="20"/>
    </w:rPr>
  </w:style>
  <w:style w:type="paragraph" w:styleId="CommentSubject">
    <w:name w:val="annotation subject"/>
    <w:basedOn w:val="CommentText"/>
    <w:next w:val="CommentText"/>
    <w:link w:val="CommentSubjectChar"/>
    <w:uiPriority w:val="99"/>
    <w:rsid w:val="005516F3"/>
    <w:rPr>
      <w:b/>
      <w:bCs/>
    </w:rPr>
  </w:style>
  <w:style w:type="character" w:customStyle="1" w:styleId="CommentSubjectChar">
    <w:name w:val="Comment Subject Char"/>
    <w:basedOn w:val="CommentTextChar"/>
    <w:link w:val="CommentSubject"/>
    <w:uiPriority w:val="99"/>
    <w:locked/>
    <w:rsid w:val="009F1BC8"/>
    <w:rPr>
      <w:rFonts w:ascii="Arial" w:hAnsi="Arial" w:cs="Arial"/>
      <w:b/>
      <w:bCs/>
      <w:color w:val="000000"/>
      <w:sz w:val="20"/>
      <w:szCs w:val="20"/>
    </w:rPr>
  </w:style>
  <w:style w:type="table" w:styleId="TableGrid">
    <w:name w:val="Table Grid"/>
    <w:basedOn w:val="TableNormal"/>
    <w:uiPriority w:val="39"/>
    <w:rsid w:val="00D81C64"/>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F81499"/>
    <w:rPr>
      <w:color w:val="auto"/>
      <w:sz w:val="11"/>
    </w:rPr>
  </w:style>
  <w:style w:type="paragraph" w:customStyle="1" w:styleId="Pa4">
    <w:name w:val="Pa4"/>
    <w:basedOn w:val="Normal"/>
    <w:next w:val="Normal"/>
    <w:uiPriority w:val="99"/>
    <w:rsid w:val="00F81499"/>
    <w:pPr>
      <w:autoSpaceDE w:val="0"/>
      <w:autoSpaceDN w:val="0"/>
      <w:adjustRightInd w:val="0"/>
      <w:spacing w:line="191" w:lineRule="atLeast"/>
    </w:pPr>
    <w:rPr>
      <w:rFonts w:ascii="Demos EF" w:hAnsi="Demos EF" w:cs="Demos EF"/>
    </w:rPr>
  </w:style>
  <w:style w:type="paragraph" w:styleId="TOCHeading">
    <w:name w:val="TOC Heading"/>
    <w:basedOn w:val="Heading1"/>
    <w:next w:val="Normal"/>
    <w:uiPriority w:val="39"/>
    <w:rsid w:val="006E11F1"/>
    <w:pPr>
      <w:keepLines/>
      <w:numPr>
        <w:numId w:val="0"/>
      </w:numPr>
      <w:spacing w:after="0" w:line="276" w:lineRule="auto"/>
      <w:outlineLvl w:val="9"/>
    </w:pPr>
    <w:rPr>
      <w:rFonts w:ascii="Cambria" w:hAnsi="Cambria" w:cs="Cambria"/>
      <w:color w:val="365F91"/>
      <w:kern w:val="0"/>
      <w:lang w:eastAsia="en-US"/>
    </w:rPr>
  </w:style>
  <w:style w:type="character" w:styleId="Hyperlink">
    <w:name w:val="Hyperlink"/>
    <w:basedOn w:val="DefaultParagraphFont"/>
    <w:uiPriority w:val="99"/>
    <w:rsid w:val="006E11F1"/>
    <w:rPr>
      <w:rFonts w:cs="Times New Roman"/>
      <w:color w:val="0000FF"/>
      <w:u w:val="single"/>
    </w:rPr>
  </w:style>
  <w:style w:type="paragraph" w:customStyle="1" w:styleId="Flietext">
    <w:name w:val="Fließtext"/>
    <w:basedOn w:val="Normal"/>
    <w:link w:val="FlietextZchn"/>
    <w:rsid w:val="0019277A"/>
    <w:pPr>
      <w:tabs>
        <w:tab w:val="left" w:pos="425"/>
      </w:tabs>
      <w:spacing w:line="264" w:lineRule="auto"/>
      <w:ind w:right="709"/>
    </w:pPr>
    <w:rPr>
      <w:sz w:val="20"/>
      <w:szCs w:val="20"/>
    </w:rPr>
  </w:style>
  <w:style w:type="character" w:customStyle="1" w:styleId="ZchnZchn5">
    <w:name w:val="Zchn Zchn5"/>
    <w:basedOn w:val="DefaultParagraphFont"/>
    <w:uiPriority w:val="99"/>
    <w:locked/>
    <w:rsid w:val="000706D2"/>
    <w:rPr>
      <w:rFonts w:ascii="Arial" w:hAnsi="Arial" w:cs="Arial"/>
      <w:color w:val="000000"/>
      <w:sz w:val="22"/>
      <w:szCs w:val="22"/>
      <w:lang w:val="de-DE" w:eastAsia="de-DE" w:bidi="ar-SA"/>
    </w:rPr>
  </w:style>
  <w:style w:type="character" w:customStyle="1" w:styleId="ZchnZchn51">
    <w:name w:val="Zchn Zchn51"/>
    <w:basedOn w:val="DefaultParagraphFont"/>
    <w:uiPriority w:val="99"/>
    <w:locked/>
    <w:rsid w:val="005B0AF5"/>
    <w:rPr>
      <w:rFonts w:ascii="Arial" w:hAnsi="Arial" w:cs="Arial"/>
      <w:color w:val="000000"/>
      <w:sz w:val="22"/>
      <w:szCs w:val="22"/>
      <w:lang w:val="de-DE" w:eastAsia="de-DE" w:bidi="ar-SA"/>
    </w:rPr>
  </w:style>
  <w:style w:type="paragraph" w:customStyle="1" w:styleId="Flietext1">
    <w:name w:val="Fließtext 1"/>
    <w:basedOn w:val="Flietext"/>
    <w:uiPriority w:val="99"/>
    <w:rsid w:val="00222BC1"/>
    <w:pPr>
      <w:ind w:right="-2"/>
      <w:jc w:val="left"/>
    </w:pPr>
    <w:rPr>
      <w:sz w:val="22"/>
      <w:szCs w:val="22"/>
    </w:rPr>
  </w:style>
  <w:style w:type="paragraph" w:customStyle="1" w:styleId="Default">
    <w:name w:val="Default"/>
    <w:rsid w:val="00222BC1"/>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99767C"/>
    <w:pPr>
      <w:numPr>
        <w:numId w:val="1"/>
      </w:numPr>
      <w:tabs>
        <w:tab w:val="num" w:pos="360"/>
      </w:tabs>
      <w:ind w:left="360"/>
    </w:pPr>
  </w:style>
  <w:style w:type="paragraph" w:styleId="ListBullet2">
    <w:name w:val="List Bullet 2"/>
    <w:basedOn w:val="Normal"/>
    <w:uiPriority w:val="99"/>
    <w:rsid w:val="0099767C"/>
    <w:pPr>
      <w:tabs>
        <w:tab w:val="num" w:pos="643"/>
      </w:tabs>
      <w:ind w:left="643" w:hanging="360"/>
    </w:pPr>
  </w:style>
  <w:style w:type="table" w:styleId="LightShading-Accent5">
    <w:name w:val="Light Shading Accent 5"/>
    <w:basedOn w:val="TableNormal"/>
    <w:uiPriority w:val="99"/>
    <w:rsid w:val="00BA09EF"/>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99"/>
    <w:rsid w:val="00BA09EF"/>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Einzug">
    <w:name w:val="Einzug"/>
    <w:basedOn w:val="Normal"/>
    <w:link w:val="EinzugZchn"/>
    <w:uiPriority w:val="99"/>
    <w:rsid w:val="009636E1"/>
    <w:pPr>
      <w:numPr>
        <w:numId w:val="2"/>
      </w:numPr>
    </w:pPr>
    <w:rPr>
      <w:rFonts w:ascii="Calibri" w:hAnsi="Calibri" w:cs="Calibri"/>
    </w:rPr>
  </w:style>
  <w:style w:type="character" w:customStyle="1" w:styleId="EinzugZchn">
    <w:name w:val="Einzug Zchn"/>
    <w:basedOn w:val="DefaultParagraphFont"/>
    <w:link w:val="Einzug"/>
    <w:uiPriority w:val="99"/>
    <w:locked/>
    <w:rsid w:val="009F1BC8"/>
    <w:rPr>
      <w:rFonts w:ascii="Calibri" w:hAnsi="Calibri" w:cs="Calibri"/>
      <w:color w:val="000000"/>
      <w:sz w:val="24"/>
      <w:szCs w:val="24"/>
    </w:rPr>
  </w:style>
  <w:style w:type="character" w:customStyle="1" w:styleId="FlietextZchn">
    <w:name w:val="Fließtext Zchn"/>
    <w:basedOn w:val="DefaultParagraphFont"/>
    <w:link w:val="Flietext"/>
    <w:locked/>
    <w:rsid w:val="009F1BC8"/>
    <w:rPr>
      <w:rFonts w:ascii="Arial" w:hAnsi="Arial" w:cs="Arial"/>
      <w:color w:val="000000"/>
      <w:sz w:val="20"/>
      <w:szCs w:val="20"/>
    </w:rPr>
  </w:style>
  <w:style w:type="paragraph" w:customStyle="1" w:styleId="bodytext">
    <w:name w:val="bodytext"/>
    <w:basedOn w:val="Normal"/>
    <w:uiPriority w:val="99"/>
    <w:rsid w:val="0010237F"/>
    <w:pPr>
      <w:spacing w:before="100" w:beforeAutospacing="1" w:after="100" w:afterAutospacing="1"/>
    </w:pPr>
    <w:rPr>
      <w:rFonts w:ascii="Times New Roman" w:hAnsi="Times New Roman" w:cs="Times New Roman"/>
    </w:rPr>
  </w:style>
  <w:style w:type="paragraph" w:customStyle="1" w:styleId="Auflistung">
    <w:name w:val="Auflistung"/>
    <w:basedOn w:val="ListParagraph"/>
    <w:link w:val="AuflistungZchn"/>
    <w:uiPriority w:val="99"/>
    <w:rsid w:val="00B12B58"/>
    <w:pPr>
      <w:numPr>
        <w:numId w:val="3"/>
      </w:numPr>
    </w:pPr>
    <w:rPr>
      <w:b/>
    </w:rPr>
  </w:style>
  <w:style w:type="paragraph" w:customStyle="1" w:styleId="Aufzhlung">
    <w:name w:val="Aufzählung"/>
    <w:basedOn w:val="ListParagraph"/>
    <w:link w:val="AufzhlungZchn"/>
    <w:uiPriority w:val="99"/>
    <w:rsid w:val="00A01D7A"/>
    <w:pPr>
      <w:numPr>
        <w:numId w:val="4"/>
      </w:numPr>
    </w:pPr>
    <w:rPr>
      <w:rFonts w:ascii="Calibri" w:hAnsi="Calibri" w:cs="Calibri"/>
      <w:lang w:val="en-US"/>
    </w:rPr>
  </w:style>
  <w:style w:type="character" w:customStyle="1" w:styleId="ListParagraphChar">
    <w:name w:val="List Paragraph Char"/>
    <w:aliases w:val="Rot hervorheben Char"/>
    <w:basedOn w:val="DefaultParagraphFont"/>
    <w:link w:val="ListParagraph"/>
    <w:uiPriority w:val="34"/>
    <w:locked/>
    <w:rsid w:val="00BC5BE8"/>
    <w:rPr>
      <w:rFonts w:ascii="Verdana" w:hAnsi="Verdana" w:cs="Arial"/>
      <w:color w:val="000000"/>
      <w:sz w:val="24"/>
      <w:szCs w:val="24"/>
    </w:rPr>
  </w:style>
  <w:style w:type="character" w:customStyle="1" w:styleId="AuflistungZchn">
    <w:name w:val="Auflistung Zchn"/>
    <w:basedOn w:val="ListParagraphChar"/>
    <w:link w:val="Auflistung"/>
    <w:uiPriority w:val="99"/>
    <w:locked/>
    <w:rsid w:val="009F1BC8"/>
    <w:rPr>
      <w:rFonts w:ascii="Verdana" w:hAnsi="Verdana" w:cs="Arial"/>
      <w:b/>
      <w:color w:val="000000"/>
      <w:sz w:val="24"/>
      <w:szCs w:val="24"/>
    </w:rPr>
  </w:style>
  <w:style w:type="character" w:customStyle="1" w:styleId="AufzhlungZchn">
    <w:name w:val="Aufzählung Zchn"/>
    <w:basedOn w:val="ListParagraphChar"/>
    <w:link w:val="Aufzhlung"/>
    <w:uiPriority w:val="99"/>
    <w:locked/>
    <w:rsid w:val="009F1BC8"/>
    <w:rPr>
      <w:rFonts w:ascii="Calibri" w:hAnsi="Calibri" w:cs="Calibri"/>
      <w:color w:val="000000"/>
      <w:sz w:val="24"/>
      <w:szCs w:val="24"/>
      <w:lang w:val="en-US"/>
    </w:rPr>
  </w:style>
  <w:style w:type="paragraph" w:styleId="BlockText">
    <w:name w:val="Block Text"/>
    <w:basedOn w:val="Normal"/>
    <w:uiPriority w:val="99"/>
    <w:rsid w:val="00594970"/>
    <w:pPr>
      <w:tabs>
        <w:tab w:val="left" w:pos="2835"/>
        <w:tab w:val="left" w:pos="4111"/>
      </w:tabs>
      <w:spacing w:after="60" w:line="260" w:lineRule="atLeast"/>
      <w:ind w:left="2835" w:right="567"/>
      <w:outlineLvl w:val="0"/>
    </w:pPr>
    <w:rPr>
      <w:rFonts w:ascii="Futura Lt BT" w:hAnsi="Futura Lt BT" w:cs="Times New Roman"/>
      <w:b/>
      <w:sz w:val="36"/>
      <w:szCs w:val="20"/>
    </w:rPr>
  </w:style>
  <w:style w:type="paragraph" w:customStyle="1" w:styleId="Briefkopfadresse">
    <w:name w:val="Briefkopfadresse"/>
    <w:basedOn w:val="Normal"/>
    <w:uiPriority w:val="99"/>
    <w:rsid w:val="00594970"/>
    <w:pPr>
      <w:framePr w:wrap="notBeside" w:vAnchor="page" w:hAnchor="text" w:y="3369"/>
      <w:spacing w:before="60" w:line="240" w:lineRule="atLeast"/>
    </w:pPr>
    <w:rPr>
      <w:rFonts w:ascii="Futura Lt BT" w:hAnsi="Futura Lt BT" w:cs="Times New Roman"/>
      <w:kern w:val="18"/>
      <w:szCs w:val="20"/>
    </w:rPr>
  </w:style>
  <w:style w:type="character" w:styleId="Strong">
    <w:name w:val="Strong"/>
    <w:basedOn w:val="DefaultParagraphFont"/>
    <w:uiPriority w:val="22"/>
    <w:qFormat/>
    <w:locked/>
    <w:rsid w:val="009F36B3"/>
    <w:rPr>
      <w:rFonts w:cs="Times New Roman"/>
      <w:b/>
      <w:bCs/>
    </w:rPr>
  </w:style>
  <w:style w:type="character" w:customStyle="1" w:styleId="StandardBerichtZchn">
    <w:name w:val="StandardBericht Zchn"/>
    <w:basedOn w:val="DefaultParagraphFont"/>
    <w:link w:val="StandardBericht"/>
    <w:uiPriority w:val="99"/>
    <w:locked/>
    <w:rsid w:val="009F1BC8"/>
    <w:rPr>
      <w:rFonts w:ascii="Arial" w:hAnsi="Arial" w:cs="Arial"/>
      <w:color w:val="000000"/>
      <w:szCs w:val="20"/>
    </w:rPr>
  </w:style>
  <w:style w:type="paragraph" w:customStyle="1" w:styleId="StandardBericht">
    <w:name w:val="StandardBericht"/>
    <w:basedOn w:val="Normal"/>
    <w:link w:val="StandardBerichtZchn"/>
    <w:uiPriority w:val="99"/>
    <w:rsid w:val="00E26367"/>
    <w:pPr>
      <w:spacing w:after="260" w:line="260" w:lineRule="atLeast"/>
    </w:pPr>
    <w:rPr>
      <w:szCs w:val="20"/>
    </w:rPr>
  </w:style>
  <w:style w:type="character" w:customStyle="1" w:styleId="PersnlicherAntwortstil">
    <w:name w:val="Persönlicher Antwortstil"/>
    <w:uiPriority w:val="99"/>
    <w:rsid w:val="00590DD7"/>
    <w:rPr>
      <w:rFonts w:ascii="Arial" w:hAnsi="Arial"/>
      <w:color w:val="000000"/>
      <w:sz w:val="20"/>
    </w:rPr>
  </w:style>
  <w:style w:type="character" w:customStyle="1" w:styleId="PersnlicherErstellstil">
    <w:name w:val="Persönlicher Erstellstil"/>
    <w:uiPriority w:val="99"/>
    <w:rsid w:val="00590DD7"/>
    <w:rPr>
      <w:rFonts w:ascii="Arial" w:hAnsi="Arial"/>
      <w:color w:val="auto"/>
      <w:sz w:val="20"/>
    </w:rPr>
  </w:style>
  <w:style w:type="paragraph" w:customStyle="1" w:styleId="AufzhlungDaten">
    <w:name w:val="Aufzählung Daten"/>
    <w:basedOn w:val="Normal"/>
    <w:rsid w:val="00583FD5"/>
    <w:pPr>
      <w:numPr>
        <w:numId w:val="6"/>
      </w:numPr>
      <w:spacing w:before="60"/>
      <w:ind w:right="284"/>
    </w:pPr>
  </w:style>
  <w:style w:type="character" w:styleId="FollowedHyperlink">
    <w:name w:val="FollowedHyperlink"/>
    <w:basedOn w:val="DefaultParagraphFont"/>
    <w:uiPriority w:val="99"/>
    <w:rsid w:val="004A2950"/>
    <w:rPr>
      <w:color w:val="B26B02" w:themeColor="followedHyperlink"/>
      <w:u w:val="single"/>
    </w:rPr>
  </w:style>
  <w:style w:type="character" w:styleId="Emphasis">
    <w:name w:val="Emphasis"/>
    <w:basedOn w:val="DefaultParagraphFont"/>
    <w:qFormat/>
    <w:locked/>
    <w:rsid w:val="002B061B"/>
    <w:rPr>
      <w:i/>
      <w:iCs/>
    </w:rPr>
  </w:style>
  <w:style w:type="paragraph" w:styleId="Revision">
    <w:name w:val="Revision"/>
    <w:hidden/>
    <w:uiPriority w:val="99"/>
    <w:semiHidden/>
    <w:rsid w:val="00BA06F6"/>
    <w:rPr>
      <w:rFonts w:ascii="Arial" w:hAnsi="Arial" w:cs="Arial"/>
      <w:color w:val="000000"/>
      <w:szCs w:val="24"/>
    </w:rPr>
  </w:style>
  <w:style w:type="paragraph" w:customStyle="1" w:styleId="ListeEbene2">
    <w:name w:val="Liste Ebene 2"/>
    <w:basedOn w:val="ListParagraph"/>
    <w:link w:val="ListeEbene2Zchn"/>
    <w:qFormat/>
    <w:rsid w:val="00BC5BE8"/>
    <w:pPr>
      <w:numPr>
        <w:numId w:val="9"/>
      </w:numPr>
    </w:pPr>
  </w:style>
  <w:style w:type="character" w:customStyle="1" w:styleId="ListeEbene2Zchn">
    <w:name w:val="Liste Ebene 2 Zchn"/>
    <w:basedOn w:val="ListParagraphChar"/>
    <w:link w:val="ListeEbene2"/>
    <w:rsid w:val="00BC5BE8"/>
    <w:rPr>
      <w:rFonts w:ascii="Verdana" w:hAnsi="Verdana" w:cs="Arial"/>
      <w:color w:val="000000"/>
      <w:sz w:val="24"/>
      <w:szCs w:val="24"/>
    </w:rPr>
  </w:style>
  <w:style w:type="character" w:customStyle="1" w:styleId="TitleChar">
    <w:name w:val="Title Char"/>
    <w:basedOn w:val="DefaultParagraphFont"/>
    <w:link w:val="Title"/>
    <w:rsid w:val="00BC5BE8"/>
    <w:rPr>
      <w:rFonts w:asciiTheme="majorHAnsi" w:eastAsiaTheme="majorEastAsia" w:hAnsiTheme="majorHAnsi" w:cstheme="majorBidi"/>
      <w:color w:val="414140" w:themeColor="text2" w:themeShade="BF"/>
      <w:spacing w:val="5"/>
      <w:kern w:val="28"/>
      <w:sz w:val="52"/>
      <w:szCs w:val="52"/>
    </w:rPr>
  </w:style>
  <w:style w:type="character" w:customStyle="1" w:styleId="st1">
    <w:name w:val="st1"/>
    <w:basedOn w:val="DefaultParagraphFont"/>
    <w:rsid w:val="001633BD"/>
  </w:style>
  <w:style w:type="paragraph" w:customStyle="1" w:styleId="Datum1">
    <w:name w:val="Datum1"/>
    <w:basedOn w:val="Normal"/>
    <w:rsid w:val="005F1FE1"/>
    <w:pPr>
      <w:spacing w:before="120"/>
      <w:jc w:val="center"/>
    </w:pPr>
    <w:rPr>
      <w:b/>
      <w:sz w:val="28"/>
      <w:szCs w:val="28"/>
      <w:lang w:eastAsia="de-DE"/>
    </w:rPr>
  </w:style>
  <w:style w:type="paragraph" w:customStyle="1" w:styleId="ENTCoverCalldescription">
    <w:name w:val="ENT Cover Calldescription"/>
    <w:basedOn w:val="Normal"/>
    <w:rsid w:val="00684340"/>
    <w:pPr>
      <w:spacing w:after="240" w:line="276" w:lineRule="auto"/>
      <w:ind w:left="1418" w:right="849"/>
    </w:pPr>
    <w:rPr>
      <w:rFonts w:ascii="Myriad Pro" w:eastAsiaTheme="minorHAnsi" w:hAnsi="Myriad Pro" w:cstheme="minorBidi"/>
      <w:color w:val="6DAFDA" w:themeColor="accent5"/>
      <w:lang w:val="en-US" w:eastAsia="en-US"/>
    </w:rPr>
  </w:style>
  <w:style w:type="paragraph" w:customStyle="1" w:styleId="TableParagraph">
    <w:name w:val="Table Paragraph"/>
    <w:basedOn w:val="Normal"/>
    <w:uiPriority w:val="1"/>
    <w:qFormat/>
    <w:rsid w:val="00A975AA"/>
    <w:pPr>
      <w:widowControl w:val="0"/>
      <w:spacing w:after="0"/>
      <w:ind w:right="0"/>
    </w:pPr>
    <w:rPr>
      <w:rFonts w:eastAsiaTheme="minorHAnsi" w:cs="Open Sans"/>
      <w:sz w:val="20"/>
      <w:szCs w:val="20"/>
      <w:lang w:val="en-US" w:eastAsia="en-US"/>
    </w:rPr>
  </w:style>
  <w:style w:type="table" w:customStyle="1" w:styleId="TableNormal1">
    <w:name w:val="Table Normal1"/>
    <w:uiPriority w:val="2"/>
    <w:semiHidden/>
    <w:qFormat/>
    <w:rsid w:val="00672BFB"/>
    <w:pPr>
      <w:widowControl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customStyle="1" w:styleId="Heading6Char">
    <w:name w:val="Heading 6 Char"/>
    <w:basedOn w:val="DefaultParagraphFont"/>
    <w:link w:val="Heading6"/>
    <w:rsid w:val="00ED7E86"/>
    <w:rPr>
      <w:rFonts w:ascii="Verdana" w:hAnsi="Verdana"/>
      <w:b/>
      <w:bCs/>
      <w:lang w:val="de-AT" w:eastAsia="de-AT"/>
    </w:rPr>
  </w:style>
  <w:style w:type="character" w:customStyle="1" w:styleId="Heading7Char">
    <w:name w:val="Heading 7 Char"/>
    <w:basedOn w:val="DefaultParagraphFont"/>
    <w:link w:val="Heading7"/>
    <w:rsid w:val="00ED7E86"/>
    <w:rPr>
      <w:sz w:val="24"/>
      <w:szCs w:val="24"/>
      <w:lang w:val="de-AT" w:eastAsia="de-AT"/>
    </w:rPr>
  </w:style>
  <w:style w:type="character" w:customStyle="1" w:styleId="Heading8Char">
    <w:name w:val="Heading 8 Char"/>
    <w:basedOn w:val="DefaultParagraphFont"/>
    <w:link w:val="Heading8"/>
    <w:rsid w:val="00ED7E86"/>
    <w:rPr>
      <w:i/>
      <w:iCs/>
      <w:sz w:val="24"/>
      <w:szCs w:val="24"/>
      <w:lang w:val="de-AT" w:eastAsia="de-AT"/>
    </w:rPr>
  </w:style>
  <w:style w:type="paragraph" w:customStyle="1" w:styleId="Headlinewothoutnumber">
    <w:name w:val="Headline wothout number"/>
    <w:basedOn w:val="Normal"/>
    <w:link w:val="HeadlinewothoutnumberZchn"/>
    <w:qFormat/>
    <w:rsid w:val="005F1FE1"/>
    <w:pPr>
      <w:spacing w:after="240"/>
    </w:pPr>
    <w:rPr>
      <w:b/>
      <w:caps/>
      <w:color w:val="0489CE"/>
    </w:rPr>
  </w:style>
  <w:style w:type="character" w:customStyle="1" w:styleId="HeadlinewothoutnumberZchn">
    <w:name w:val="Headline wothout number Zchn"/>
    <w:basedOn w:val="Heading1Char"/>
    <w:link w:val="Headlinewothoutnumber"/>
    <w:rsid w:val="005F1FE1"/>
    <w:rPr>
      <w:rFonts w:ascii="Open Sans" w:hAnsi="Open Sans" w:cs="Arial"/>
      <w:b/>
      <w:caps/>
      <w:color w:val="0489CE"/>
      <w:kern w:val="28"/>
      <w:sz w:val="28"/>
      <w:szCs w:val="24"/>
      <w:lang w:val="en-GB" w:eastAsia="zh-TW"/>
    </w:rPr>
  </w:style>
  <w:style w:type="table" w:customStyle="1" w:styleId="Tabellenraster1">
    <w:name w:val="Tabellenraster1"/>
    <w:basedOn w:val="TableNormal"/>
    <w:next w:val="TableGrid"/>
    <w:uiPriority w:val="39"/>
    <w:rsid w:val="0033507B"/>
    <w:rPr>
      <w:rFonts w:asciiTheme="minorHAnsi" w:eastAsiaTheme="minorHAnsi" w:hAnsiTheme="minorHAnsi" w:cstheme="minorBidi"/>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1E4C5E"/>
    <w:rPr>
      <w:rFonts w:ascii="Garamond" w:eastAsiaTheme="minorEastAsia" w:hAnsi="Garamond" w:cstheme="minorBidi"/>
      <w:sz w:val="24"/>
      <w:lang w:val="nb-NO" w:eastAsia="zh-TW"/>
    </w:rPr>
  </w:style>
  <w:style w:type="paragraph" w:customStyle="1" w:styleId="Fussnoten">
    <w:name w:val="Fussnoten"/>
    <w:basedOn w:val="FootnoteText"/>
    <w:next w:val="Normal"/>
    <w:autoRedefine/>
    <w:qFormat/>
    <w:rsid w:val="00D05164"/>
    <w:pPr>
      <w:tabs>
        <w:tab w:val="clear" w:pos="360"/>
        <w:tab w:val="left" w:pos="9214"/>
      </w:tabs>
      <w:spacing w:before="60" w:after="60"/>
      <w:ind w:left="0" w:firstLineChars="0" w:firstLine="0"/>
    </w:pPr>
    <w:rPr>
      <w:rFonts w:asciiTheme="minorHAnsi" w:eastAsiaTheme="minorHAnsi" w:hAnsiTheme="minorHAnsi" w:cstheme="minorHAnsi"/>
      <w:color w:val="auto"/>
      <w:sz w:val="14"/>
      <w:szCs w:val="16"/>
      <w:lang w:val="en-US" w:eastAsia="en-US"/>
    </w:rPr>
  </w:style>
  <w:style w:type="paragraph" w:customStyle="1" w:styleId="SUPERSChar">
    <w:name w:val="SUPERS Char"/>
    <w:aliases w:val="EN Footnote Reference Char"/>
    <w:basedOn w:val="Normal"/>
    <w:link w:val="FootnoteReference"/>
    <w:uiPriority w:val="99"/>
    <w:rsid w:val="00D05164"/>
    <w:pPr>
      <w:spacing w:after="160" w:line="240" w:lineRule="exact"/>
    </w:pPr>
    <w:rPr>
      <w:rFonts w:ascii="Arial" w:hAnsi="Arial"/>
      <w:color w:val="auto"/>
      <w:sz w:val="20"/>
      <w:szCs w:val="20"/>
      <w:vertAlign w:val="superscript"/>
    </w:rPr>
  </w:style>
  <w:style w:type="paragraph" w:customStyle="1" w:styleId="berschrift4">
    <w:name w:val="Überschrift4"/>
    <w:basedOn w:val="Normal"/>
    <w:link w:val="berschrift4Zchn"/>
    <w:autoRedefine/>
    <w:rsid w:val="00D05164"/>
    <w:pPr>
      <w:spacing w:before="240" w:after="60" w:line="280" w:lineRule="atLeast"/>
      <w:ind w:right="278"/>
    </w:pPr>
    <w:rPr>
      <w:rFonts w:asciiTheme="minorHAnsi" w:eastAsia="Cambria" w:hAnsiTheme="minorHAnsi" w:cstheme="minorHAnsi"/>
      <w:b/>
      <w:color w:val="757574" w:themeColor="accent3" w:themeShade="BF"/>
      <w:lang w:eastAsia="en-US"/>
    </w:rPr>
  </w:style>
  <w:style w:type="character" w:customStyle="1" w:styleId="berschrift4Zchn">
    <w:name w:val="Überschrift4 Zchn"/>
    <w:basedOn w:val="DefaultParagraphFont"/>
    <w:link w:val="berschrift4"/>
    <w:rsid w:val="00D05164"/>
    <w:rPr>
      <w:rFonts w:asciiTheme="minorHAnsi" w:eastAsia="Cambria" w:hAnsiTheme="minorHAnsi" w:cstheme="minorHAnsi"/>
      <w:b/>
      <w:color w:val="757574" w:themeColor="accent3" w:themeShade="BF"/>
      <w:sz w:val="24"/>
      <w:lang w:val="en-GB" w:eastAsia="en-US"/>
    </w:rPr>
  </w:style>
  <w:style w:type="paragraph" w:customStyle="1" w:styleId="Listenabsatz3">
    <w:name w:val="Listenabsatz3"/>
    <w:basedOn w:val="NoSpacing"/>
    <w:link w:val="Listenabsatz3Zchn"/>
    <w:qFormat/>
    <w:rsid w:val="001D00EE"/>
    <w:pPr>
      <w:numPr>
        <w:numId w:val="28"/>
      </w:numPr>
      <w:suppressAutoHyphens/>
    </w:pPr>
    <w:rPr>
      <w:rFonts w:ascii="Open Sans" w:hAnsi="Open Sans"/>
      <w:color w:val="575756" w:themeColor="text2"/>
      <w:sz w:val="22"/>
      <w:lang w:val="en-GB"/>
    </w:rPr>
  </w:style>
  <w:style w:type="character" w:customStyle="1" w:styleId="Listenabsatz3Zchn">
    <w:name w:val="Listenabsatz3 Zchn"/>
    <w:basedOn w:val="DefaultParagraphFont"/>
    <w:link w:val="Listenabsatz3"/>
    <w:rsid w:val="001D00EE"/>
    <w:rPr>
      <w:rFonts w:ascii="Open Sans" w:eastAsiaTheme="minorEastAsia" w:hAnsi="Open Sans" w:cstheme="minorBidi"/>
      <w:color w:val="575756" w:themeColor="text2"/>
      <w:lang w:val="en-GB" w:eastAsia="zh-TW"/>
    </w:rPr>
  </w:style>
  <w:style w:type="paragraph" w:customStyle="1" w:styleId="Listenabsatz1">
    <w:name w:val="Listenabsatz1"/>
    <w:basedOn w:val="NoSpacing"/>
    <w:link w:val="Listenabsatz1Zchn"/>
    <w:qFormat/>
    <w:rsid w:val="001D00EE"/>
    <w:pPr>
      <w:numPr>
        <w:numId w:val="26"/>
      </w:numPr>
      <w:suppressAutoHyphens/>
    </w:pPr>
    <w:rPr>
      <w:rFonts w:ascii="Open Sans" w:hAnsi="Open Sans"/>
      <w:color w:val="575756" w:themeColor="text2"/>
      <w:sz w:val="22"/>
      <w:lang w:val="en-GB"/>
    </w:rPr>
  </w:style>
  <w:style w:type="character" w:customStyle="1" w:styleId="Listenabsatz1Zchn">
    <w:name w:val="Listenabsatz1 Zchn"/>
    <w:basedOn w:val="DefaultParagraphFont"/>
    <w:link w:val="Listenabsatz1"/>
    <w:rsid w:val="001D00EE"/>
    <w:rPr>
      <w:rFonts w:ascii="Open Sans" w:eastAsiaTheme="minorEastAsia" w:hAnsi="Open Sans" w:cstheme="minorBidi"/>
      <w:color w:val="575756" w:themeColor="text2"/>
      <w:lang w:val="en-GB" w:eastAsia="zh-TW"/>
    </w:rPr>
  </w:style>
  <w:style w:type="paragraph" w:customStyle="1" w:styleId="Liste2">
    <w:name w:val="Liste2"/>
    <w:basedOn w:val="ListParagraph"/>
    <w:link w:val="Liste2Zchn"/>
    <w:rsid w:val="00BF79DB"/>
    <w:pPr>
      <w:numPr>
        <w:ilvl w:val="1"/>
        <w:numId w:val="21"/>
      </w:numPr>
      <w:spacing w:before="60" w:after="60" w:line="280" w:lineRule="atLeast"/>
      <w:ind w:left="754" w:right="0" w:hanging="357"/>
    </w:pPr>
    <w:rPr>
      <w:rFonts w:asciiTheme="minorHAnsi" w:eastAsiaTheme="minorHAnsi" w:hAnsiTheme="minorHAnsi" w:cstheme="minorBidi"/>
      <w:color w:val="auto"/>
    </w:rPr>
  </w:style>
  <w:style w:type="character" w:customStyle="1" w:styleId="Liste2Zchn">
    <w:name w:val="Liste2 Zchn"/>
    <w:basedOn w:val="DefaultParagraphFont"/>
    <w:link w:val="Liste2"/>
    <w:rsid w:val="00BF79DB"/>
    <w:rPr>
      <w:rFonts w:asciiTheme="minorHAnsi" w:eastAsiaTheme="minorHAnsi" w:hAnsiTheme="minorHAnsi" w:cstheme="minorBidi"/>
      <w:lang w:val="en-GB"/>
    </w:rPr>
  </w:style>
  <w:style w:type="paragraph" w:customStyle="1" w:styleId="Listenabsatz2">
    <w:name w:val="Listenabsatz2"/>
    <w:basedOn w:val="Listenabsatz3"/>
    <w:link w:val="Listenabsatz2Zchn"/>
    <w:qFormat/>
    <w:rsid w:val="00BF79DB"/>
    <w:pPr>
      <w:numPr>
        <w:numId w:val="22"/>
      </w:numPr>
      <w:ind w:left="357" w:hanging="357"/>
    </w:pPr>
  </w:style>
  <w:style w:type="character" w:customStyle="1" w:styleId="Listenabsatz2Zchn">
    <w:name w:val="Listenabsatz2 Zchn"/>
    <w:basedOn w:val="Listenabsatz3Zchn"/>
    <w:link w:val="Listenabsatz2"/>
    <w:rsid w:val="00BF79DB"/>
    <w:rPr>
      <w:rFonts w:asciiTheme="minorHAnsi" w:eastAsiaTheme="minorHAnsi" w:hAnsiTheme="minorHAnsi" w:cstheme="minorBidi"/>
      <w:color w:val="575756" w:themeColor="text2"/>
      <w:lang w:val="en-GB" w:eastAsia="zh-TW"/>
    </w:rPr>
  </w:style>
  <w:style w:type="paragraph" w:customStyle="1" w:styleId="Pfeile">
    <w:name w:val="Pfeile"/>
    <w:basedOn w:val="ListParagraph"/>
    <w:link w:val="PfeileZchn"/>
    <w:qFormat/>
    <w:rsid w:val="00BF79DB"/>
    <w:pPr>
      <w:numPr>
        <w:numId w:val="23"/>
      </w:numPr>
      <w:spacing w:before="60" w:after="60" w:line="280" w:lineRule="atLeast"/>
      <w:ind w:left="284" w:right="139" w:hanging="284"/>
    </w:pPr>
    <w:rPr>
      <w:rFonts w:asciiTheme="minorHAnsi" w:eastAsiaTheme="minorHAnsi" w:hAnsiTheme="minorHAnsi" w:cstheme="minorBidi"/>
      <w:color w:val="auto"/>
      <w:lang w:eastAsia="en-US"/>
    </w:rPr>
  </w:style>
  <w:style w:type="character" w:customStyle="1" w:styleId="PfeileZchn">
    <w:name w:val="Pfeile Zchn"/>
    <w:basedOn w:val="DefaultParagraphFont"/>
    <w:link w:val="Pfeile"/>
    <w:rsid w:val="00BF79DB"/>
    <w:rPr>
      <w:rFonts w:asciiTheme="minorHAnsi" w:eastAsiaTheme="minorHAnsi" w:hAnsiTheme="minorHAnsi" w:cstheme="minorBidi"/>
      <w:lang w:val="en-GB" w:eastAsia="en-US"/>
    </w:rPr>
  </w:style>
  <w:style w:type="character" w:customStyle="1" w:styleId="UnresolvedMention1">
    <w:name w:val="Unresolved Mention1"/>
    <w:basedOn w:val="DefaultParagraphFont"/>
    <w:uiPriority w:val="99"/>
    <w:semiHidden/>
    <w:unhideWhenUsed/>
    <w:rsid w:val="00C000DE"/>
    <w:rPr>
      <w:color w:val="808080"/>
      <w:shd w:val="clear" w:color="auto" w:fill="E6E6E6"/>
    </w:rPr>
  </w:style>
  <w:style w:type="paragraph" w:styleId="BodyText0">
    <w:name w:val="Body Text"/>
    <w:basedOn w:val="Normal"/>
    <w:link w:val="BodyTextChar"/>
    <w:unhideWhenUsed/>
    <w:qFormat/>
    <w:rsid w:val="006A61A7"/>
    <w:pPr>
      <w:spacing w:after="290" w:line="290" w:lineRule="atLeast"/>
    </w:pPr>
  </w:style>
  <w:style w:type="character" w:customStyle="1" w:styleId="BodyTextChar">
    <w:name w:val="Body Text Char"/>
    <w:basedOn w:val="DefaultParagraphFont"/>
    <w:link w:val="BodyText0"/>
    <w:rsid w:val="006A61A7"/>
    <w:rPr>
      <w:rFonts w:ascii="Verdana" w:hAnsi="Verdana" w:cs="Arial"/>
      <w:color w:val="000000"/>
      <w:sz w:val="24"/>
      <w:szCs w:val="24"/>
    </w:rPr>
  </w:style>
  <w:style w:type="character" w:customStyle="1" w:styleId="Olstomnmnande1">
    <w:name w:val="Olöst omnämnande1"/>
    <w:basedOn w:val="DefaultParagraphFont"/>
    <w:uiPriority w:val="99"/>
    <w:semiHidden/>
    <w:unhideWhenUsed/>
    <w:rsid w:val="00E92371"/>
    <w:rPr>
      <w:color w:val="808080"/>
      <w:shd w:val="clear" w:color="auto" w:fill="E6E6E6"/>
    </w:rPr>
  </w:style>
  <w:style w:type="paragraph" w:customStyle="1" w:styleId="Standardtext">
    <w:name w:val="Standardtext"/>
    <w:basedOn w:val="Normal"/>
    <w:link w:val="StandardtextZchn"/>
    <w:rsid w:val="006A167C"/>
    <w:pPr>
      <w:spacing w:after="120" w:line="288" w:lineRule="auto"/>
    </w:pPr>
    <w:rPr>
      <w:rFonts w:asciiTheme="minorHAnsi" w:eastAsiaTheme="minorHAnsi" w:hAnsiTheme="minorHAnsi" w:cstheme="minorBidi"/>
      <w:color w:val="auto"/>
      <w:sz w:val="20"/>
      <w:lang w:val="de-AT" w:eastAsia="en-US"/>
    </w:rPr>
  </w:style>
  <w:style w:type="character" w:customStyle="1" w:styleId="StandardtextZchn">
    <w:name w:val="Standardtext Zchn"/>
    <w:basedOn w:val="DefaultParagraphFont"/>
    <w:link w:val="Standardtext"/>
    <w:rsid w:val="006A167C"/>
    <w:rPr>
      <w:rFonts w:asciiTheme="minorHAnsi" w:eastAsiaTheme="minorHAnsi" w:hAnsiTheme="minorHAnsi" w:cstheme="minorBidi"/>
      <w:sz w:val="20"/>
      <w:lang w:val="de-AT" w:eastAsia="en-US"/>
    </w:rPr>
  </w:style>
  <w:style w:type="paragraph" w:customStyle="1" w:styleId="StyleECSquareSansPro">
    <w:name w:val="Style EC Square Sans Pro"/>
    <w:basedOn w:val="Normal"/>
    <w:rsid w:val="006A167C"/>
    <w:pPr>
      <w:spacing w:before="100" w:beforeAutospacing="1" w:after="100" w:afterAutospacing="1"/>
      <w:jc w:val="center"/>
    </w:pPr>
    <w:rPr>
      <w:rFonts w:ascii="EC Square Sans Pro" w:eastAsiaTheme="minorHAnsi" w:hAnsi="EC Square Sans Pro" w:cstheme="minorBidi"/>
      <w:color w:val="auto"/>
      <w:sz w:val="28"/>
      <w:lang w:eastAsia="en-US"/>
    </w:rPr>
  </w:style>
  <w:style w:type="table" w:customStyle="1" w:styleId="TableNormal2">
    <w:name w:val="Table Normal2"/>
    <w:uiPriority w:val="2"/>
    <w:semiHidden/>
    <w:unhideWhenUsed/>
    <w:qFormat/>
    <w:rsid w:val="00A02DCE"/>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Gitternetztabelle4Akzent61">
    <w:name w:val="Gitternetztabelle 4 – Akzent 61"/>
    <w:basedOn w:val="TableNormal"/>
    <w:next w:val="GridTable4-Accent6"/>
    <w:uiPriority w:val="49"/>
    <w:rsid w:val="002B1BF0"/>
    <w:rPr>
      <w:sz w:val="20"/>
      <w:szCs w:val="20"/>
      <w:lang w:eastAsia="en-GB"/>
    </w:rPr>
    <w:tblPr>
      <w:tblStyleRowBandSize w:val="1"/>
      <w:tblStyleColBandSize w:val="1"/>
      <w:tblBorders>
        <w:top w:val="single" w:sz="4" w:space="0" w:color="61BBEF"/>
        <w:left w:val="single" w:sz="4" w:space="0" w:color="61BBEF"/>
        <w:bottom w:val="single" w:sz="4" w:space="0" w:color="61BBEF"/>
        <w:right w:val="single" w:sz="4" w:space="0" w:color="61BBEF"/>
        <w:insideH w:val="single" w:sz="4" w:space="0" w:color="61BBEF"/>
        <w:insideV w:val="single" w:sz="4" w:space="0" w:color="61BBEF"/>
      </w:tblBorders>
    </w:tblPr>
    <w:tblStylePr w:type="firstRow">
      <w:rPr>
        <w:b/>
        <w:bCs/>
        <w:color w:val="F0F0F0"/>
      </w:rPr>
      <w:tblPr/>
      <w:tcPr>
        <w:tcBorders>
          <w:top w:val="single" w:sz="4" w:space="0" w:color="1488CA"/>
          <w:left w:val="single" w:sz="4" w:space="0" w:color="1488CA"/>
          <w:bottom w:val="single" w:sz="4" w:space="0" w:color="1488CA"/>
          <w:right w:val="single" w:sz="4" w:space="0" w:color="1488CA"/>
          <w:insideH w:val="nil"/>
          <w:insideV w:val="nil"/>
        </w:tcBorders>
        <w:shd w:val="clear" w:color="auto" w:fill="1488CA"/>
      </w:tcPr>
    </w:tblStylePr>
    <w:tblStylePr w:type="lastRow">
      <w:rPr>
        <w:b/>
        <w:bCs/>
      </w:rPr>
      <w:tblPr/>
      <w:tcPr>
        <w:tcBorders>
          <w:top w:val="double" w:sz="4" w:space="0" w:color="1488CA"/>
        </w:tcBorders>
      </w:tcPr>
    </w:tblStylePr>
    <w:tblStylePr w:type="firstCol">
      <w:rPr>
        <w:b/>
        <w:bCs/>
      </w:rPr>
    </w:tblStylePr>
    <w:tblStylePr w:type="lastCol">
      <w:rPr>
        <w:b/>
        <w:bCs/>
      </w:rPr>
    </w:tblStylePr>
    <w:tblStylePr w:type="band1Vert">
      <w:tblPr/>
      <w:tcPr>
        <w:shd w:val="clear" w:color="auto" w:fill="CAE8F9"/>
      </w:tcPr>
    </w:tblStylePr>
    <w:tblStylePr w:type="band1Horz">
      <w:tblPr/>
      <w:tcPr>
        <w:shd w:val="clear" w:color="auto" w:fill="CAE8F9"/>
      </w:tcPr>
    </w:tblStylePr>
  </w:style>
  <w:style w:type="table" w:styleId="GridTable4-Accent6">
    <w:name w:val="Grid Table 4 Accent 6"/>
    <w:basedOn w:val="TableNormal"/>
    <w:uiPriority w:val="49"/>
    <w:rsid w:val="002B1BF0"/>
    <w:tblPr>
      <w:tblStyleRowBandSize w:val="1"/>
      <w:tblStyleColBandSize w:val="1"/>
      <w:tblBorders>
        <w:top w:val="single" w:sz="4" w:space="0" w:color="61BBEF" w:themeColor="accent6" w:themeTint="99"/>
        <w:left w:val="single" w:sz="4" w:space="0" w:color="61BBEF" w:themeColor="accent6" w:themeTint="99"/>
        <w:bottom w:val="single" w:sz="4" w:space="0" w:color="61BBEF" w:themeColor="accent6" w:themeTint="99"/>
        <w:right w:val="single" w:sz="4" w:space="0" w:color="61BBEF" w:themeColor="accent6" w:themeTint="99"/>
        <w:insideH w:val="single" w:sz="4" w:space="0" w:color="61BBEF" w:themeColor="accent6" w:themeTint="99"/>
        <w:insideV w:val="single" w:sz="4" w:space="0" w:color="61BBEF" w:themeColor="accent6" w:themeTint="99"/>
      </w:tblBorders>
    </w:tblPr>
    <w:tblStylePr w:type="firstRow">
      <w:rPr>
        <w:b/>
        <w:bCs/>
        <w:color w:val="F0F0F0" w:themeColor="background1"/>
      </w:rPr>
      <w:tblPr/>
      <w:tcPr>
        <w:tcBorders>
          <w:top w:val="single" w:sz="4" w:space="0" w:color="1488CA" w:themeColor="accent6"/>
          <w:left w:val="single" w:sz="4" w:space="0" w:color="1488CA" w:themeColor="accent6"/>
          <w:bottom w:val="single" w:sz="4" w:space="0" w:color="1488CA" w:themeColor="accent6"/>
          <w:right w:val="single" w:sz="4" w:space="0" w:color="1488CA" w:themeColor="accent6"/>
          <w:insideH w:val="nil"/>
          <w:insideV w:val="nil"/>
        </w:tcBorders>
        <w:shd w:val="clear" w:color="auto" w:fill="1488CA" w:themeFill="accent6"/>
      </w:tcPr>
    </w:tblStylePr>
    <w:tblStylePr w:type="lastRow">
      <w:rPr>
        <w:b/>
        <w:bCs/>
      </w:rPr>
      <w:tblPr/>
      <w:tcPr>
        <w:tcBorders>
          <w:top w:val="double" w:sz="4" w:space="0" w:color="1488CA" w:themeColor="accent6"/>
        </w:tcBorders>
      </w:tcPr>
    </w:tblStylePr>
    <w:tblStylePr w:type="firstCol">
      <w:rPr>
        <w:b/>
        <w:bCs/>
      </w:rPr>
    </w:tblStylePr>
    <w:tblStylePr w:type="lastCol">
      <w:rPr>
        <w:b/>
        <w:bCs/>
      </w:rPr>
    </w:tblStylePr>
    <w:tblStylePr w:type="band1Vert">
      <w:tblPr/>
      <w:tcPr>
        <w:shd w:val="clear" w:color="auto" w:fill="CAE8F9" w:themeFill="accent6" w:themeFillTint="33"/>
      </w:tcPr>
    </w:tblStylePr>
    <w:tblStylePr w:type="band1Horz">
      <w:tblPr/>
      <w:tcPr>
        <w:shd w:val="clear" w:color="auto" w:fill="CAE8F9" w:themeFill="accent6" w:themeFillTint="33"/>
      </w:tcPr>
    </w:tblStylePr>
  </w:style>
  <w:style w:type="paragraph" w:customStyle="1" w:styleId="Titel1">
    <w:name w:val="Titel1"/>
    <w:basedOn w:val="Normal"/>
    <w:qFormat/>
    <w:rsid w:val="005F1FE1"/>
    <w:pPr>
      <w:jc w:val="center"/>
    </w:pPr>
    <w:rPr>
      <w:b/>
      <w:caps/>
      <w:color w:val="0489CE"/>
      <w:sz w:val="48"/>
      <w:szCs w:val="28"/>
    </w:rPr>
  </w:style>
  <w:style w:type="paragraph" w:customStyle="1" w:styleId="Untertitel1">
    <w:name w:val="Untertitel1"/>
    <w:basedOn w:val="Normal"/>
    <w:rsid w:val="003D3E39"/>
    <w:pPr>
      <w:jc w:val="center"/>
    </w:pPr>
    <w:rPr>
      <w:color w:val="1488CA" w:themeColor="accent6"/>
      <w:sz w:val="36"/>
      <w:szCs w:val="36"/>
    </w:rPr>
  </w:style>
  <w:style w:type="paragraph" w:customStyle="1" w:styleId="PubDateVersion">
    <w:name w:val="PubDate/Version"/>
    <w:basedOn w:val="Normal"/>
    <w:qFormat/>
    <w:rsid w:val="003D3E39"/>
    <w:pPr>
      <w:spacing w:before="120"/>
      <w:jc w:val="center"/>
    </w:pPr>
    <w:rPr>
      <w:b/>
      <w:sz w:val="28"/>
      <w:szCs w:val="28"/>
      <w:lang w:eastAsia="de-DE"/>
    </w:rPr>
  </w:style>
  <w:style w:type="paragraph" w:customStyle="1" w:styleId="Pre-title">
    <w:name w:val="Pre-title"/>
    <w:basedOn w:val="Normal"/>
    <w:qFormat/>
    <w:rsid w:val="005F1FE1"/>
    <w:pPr>
      <w:jc w:val="center"/>
    </w:pPr>
    <w:rPr>
      <w:b/>
      <w:caps/>
      <w:color w:val="0489CE"/>
      <w:sz w:val="36"/>
      <w:szCs w:val="28"/>
    </w:rPr>
  </w:style>
  <w:style w:type="paragraph" w:customStyle="1" w:styleId="Version">
    <w:name w:val="Version"/>
    <w:basedOn w:val="Normal"/>
    <w:qFormat/>
    <w:rsid w:val="005F1FE1"/>
    <w:pPr>
      <w:jc w:val="center"/>
    </w:pPr>
    <w:rPr>
      <w:caps/>
      <w:color w:val="0489CE"/>
      <w:sz w:val="36"/>
      <w:szCs w:val="28"/>
    </w:rPr>
  </w:style>
  <w:style w:type="paragraph" w:customStyle="1" w:styleId="Tablebold">
    <w:name w:val="Table bold"/>
    <w:basedOn w:val="TableParagraph"/>
    <w:qFormat/>
    <w:rsid w:val="00A975AA"/>
    <w:rPr>
      <w:b/>
    </w:rPr>
  </w:style>
  <w:style w:type="character" w:customStyle="1" w:styleId="StandardgroZchn">
    <w:name w:val="Standard groß Zchn"/>
    <w:basedOn w:val="DefaultParagraphFont"/>
    <w:link w:val="Standardgro"/>
    <w:locked/>
    <w:rsid w:val="00410424"/>
    <w:rPr>
      <w:rFonts w:ascii="Open Sans" w:hAnsi="Open Sans" w:cs="Arial"/>
      <w:color w:val="000000"/>
      <w:sz w:val="24"/>
      <w:szCs w:val="24"/>
      <w:lang w:val="en-GB"/>
    </w:rPr>
  </w:style>
  <w:style w:type="paragraph" w:customStyle="1" w:styleId="Standardgro">
    <w:name w:val="Standard groß"/>
    <w:basedOn w:val="Normal"/>
    <w:link w:val="StandardgroZchn"/>
    <w:qFormat/>
    <w:rsid w:val="00410424"/>
    <w:pPr>
      <w:suppressAutoHyphens w:val="0"/>
      <w:spacing w:before="120" w:after="120"/>
      <w:ind w:right="0"/>
      <w:jc w:val="center"/>
    </w:pPr>
    <w:rPr>
      <w:color w:val="000000"/>
      <w:sz w:val="24"/>
      <w:szCs w:val="24"/>
      <w:lang w:eastAsia="de-DE"/>
    </w:rPr>
  </w:style>
  <w:style w:type="paragraph" w:customStyle="1" w:styleId="schwarzfett">
    <w:name w:val="schwarz fett"/>
    <w:basedOn w:val="TableParagraph"/>
    <w:qFormat/>
    <w:rsid w:val="00410424"/>
    <w:pPr>
      <w:suppressAutoHyphens w:val="0"/>
      <w:spacing w:before="84" w:after="120" w:line="247" w:lineRule="auto"/>
      <w:ind w:right="58"/>
    </w:pPr>
    <w:rPr>
      <w:rFonts w:cs="Arial"/>
      <w:b/>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Calibri" w:eastAsia="Calibri" w:hAnsi="Calibri" w:cs="Calibri"/>
      <w:color w:val="365F91"/>
      <w:sz w:val="20"/>
      <w:szCs w:val="20"/>
    </w:rPr>
    <w:tblPr>
      <w:tblStyleRowBandSize w:val="1"/>
      <w:tblStyleColBandSize w:val="1"/>
      <w:tblCellMar>
        <w:left w:w="108" w:type="dxa"/>
        <w:right w:w="108" w:type="dxa"/>
      </w:tblCellMar>
    </w:tblPr>
  </w:style>
  <w:style w:type="table" w:customStyle="1" w:styleId="a0">
    <w:basedOn w:val="TableNormal2"/>
    <w:rPr>
      <w:rFonts w:ascii="Calibri" w:eastAsia="Calibri" w:hAnsi="Calibri" w:cs="Calibri"/>
      <w:color w:val="365F91"/>
      <w:sz w:val="20"/>
      <w:szCs w:val="20"/>
    </w:rPr>
    <w:tblPr>
      <w:tblStyleRowBandSize w:val="1"/>
      <w:tblStyleColBandSize w:val="1"/>
      <w:tblCellMar>
        <w:left w:w="108" w:type="dxa"/>
        <w:right w:w="108" w:type="dxa"/>
      </w:tblCellMar>
    </w:tblPr>
  </w:style>
  <w:style w:type="table" w:customStyle="1" w:styleId="a1">
    <w:basedOn w:val="TableNormal2"/>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ranet-smartenergysystems.eu"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RA-Net SES">
      <a:dk1>
        <a:srgbClr val="1488CB"/>
      </a:dk1>
      <a:lt1>
        <a:srgbClr val="F0F0F0"/>
      </a:lt1>
      <a:dk2>
        <a:srgbClr val="575756"/>
      </a:dk2>
      <a:lt2>
        <a:srgbClr val="F0F0F0"/>
      </a:lt2>
      <a:accent1>
        <a:srgbClr val="96C271"/>
      </a:accent1>
      <a:accent2>
        <a:srgbClr val="28A639"/>
      </a:accent2>
      <a:accent3>
        <a:srgbClr val="9D9D9C"/>
      </a:accent3>
      <a:accent4>
        <a:srgbClr val="575756"/>
      </a:accent4>
      <a:accent5>
        <a:srgbClr val="6DAFDA"/>
      </a:accent5>
      <a:accent6>
        <a:srgbClr val="1488CA"/>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bWnhNsX5qXFlADuO9wQll3IM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6577</Words>
  <Characters>38148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Rebaz Ahmad</dc:creator>
  <cp:lastModifiedBy>Cristian Beceanu</cp:lastModifiedBy>
  <cp:revision>2</cp:revision>
  <dcterms:created xsi:type="dcterms:W3CDTF">2025-03-04T15:50:00Z</dcterms:created>
  <dcterms:modified xsi:type="dcterms:W3CDTF">2025-03-04T15:50:00Z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0x01010037E00AA09281384EA6B355952D35C844</vt:lpwstr>
  </property>
</Properties>
</file>